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M4｜P0 质量门、事务与并发可靠性｜技术方案</w:t>
      </w:r>
    </w:p>
    <w:p>
      <w:pPr>
        <w:pStyle w:val="Subtitle"/>
        <w:jc w:val="left"/>
      </w:pPr>
      <w:r>
        <w:t xml:space="preserve">2027-01-04 ～ 2027-01-31｜阶段实施设计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文档用途：定义模块、数据库、事务/信任边界、前端契约与测试方法。</w:t>
      </w:r>
    </w:p>
    <w:p>
      <w:pPr>
        <w:widowControl/>
        <w:spacing w:after="160" w:line="348"/>
        <w:jc w:val="both"/>
      </w:pPr>
      <w:r>
        <w:t xml:space="preserve">前置门：M1～M3核心功能已实现并留有失败/通过证据；所有尚未通过的P0项明确列出，不把接口可通当作可靠性完成。</w:t>
      </w:r>
    </w:p>
    <w:p>
      <w:pPr>
        <w:widowControl/>
        <w:spacing w:after="160" w:line="348"/>
        <w:jc w:val="both"/>
      </w:pPr>
      <w:r>
        <w:t xml:space="preserve">阶段产出：P0需求追踪矩阵、并发/故障测试、查询计划与性能记录、可演示的完整账本。原则上不新增业务接口或功能。</w:t>
      </w:r>
    </w:p>
    <w:p>
      <w:pPr>
        <w:pStyle w:val="Heading1"/>
      </w:pPr>
      <w:r>
        <w:t xml:space="preserve">一、并发夹具设计</w:t>
      </w:r>
    </w:p>
    <w:p>
      <w:pPr>
        <w:widowControl/>
        <w:spacing w:after="160" w:line="348"/>
        <w:jc w:val="both"/>
      </w:pPr>
      <w:r>
        <w:t xml:space="preserve">20个请求使用同一认证用户、同一UUID键和规范body，独立HTTP请求/DB连接；同时启动，断言流水/幂等数量及响应体/Location。不能顺序await冒充并发。</w:t>
      </w:r>
    </w:p>
    <w:p>
      <w:pPr>
        <w:widowControl/>
        <w:spacing w:after="160" w:line="348"/>
        <w:jc w:val="both"/>
      </w:pPr>
      <w:r>
        <w:t xml:space="preserve">相同键不同体：先已提交基准再并发变体，全部409；混合未提交不同体时赢家由执行顺序决定，其余冲突，不预设固定体胜出。</w:t>
      </w:r>
    </w:p>
    <w:p>
      <w:pPr>
        <w:widowControl/>
        <w:spacing w:after="160" w:line="348"/>
        <w:jc w:val="both"/>
      </w:pPr>
      <w:r>
        <w:t xml:space="preserve">分类竞态用可控barrier协调真实事务到达锁点，分别测创建先、归档先；设置超时确保失败不会永久挂起。隔离夹具复位不得删开发库。</w:t>
      </w:r>
    </w:p>
    <w:p>
      <w:pPr>
        <w:widowControl/>
        <w:spacing w:after="160" w:line="348"/>
        <w:jc w:val="both"/>
      </w:pPr>
      <w:r>
        <w:t xml:space="preserve">首次response快照软删重放回归贯穿DB+HTTP；鉴权与事务Scope单测只是辅助，不替代真PostgreSQL多连接。</w:t>
      </w:r>
    </w:p>
    <w:p>
      <w:pPr>
        <w:pStyle w:val="Heading1"/>
      </w:pPr>
      <w:r>
        <w:t xml:space="preserve">二、故障注入与事务审计</w:t>
      </w:r>
    </w:p>
    <w:p>
      <w:pPr>
        <w:widowControl/>
        <w:spacing w:after="160" w:line="348"/>
        <w:jc w:val="both"/>
      </w:pPr>
      <w:r>
        <w:t xml:space="preserve">在授权的本地虚构测试库，以依赖注入/受控测试钩子触发SQL异常：验证在流水写后、快照写前、提交失败路径全部回滚。生产代码不可留下对外故障参数。</w:t>
      </w:r>
    </w:p>
    <w:p>
      <w:pPr>
        <w:widowControl/>
        <w:spacing w:after="160" w:line="348"/>
        <w:jc w:val="both"/>
      </w:pPr>
      <w:r>
        <w:t xml:space="preserve">提交后断连与提交前失败区别：前者DB已有1笔，重试读首次快照；后者无残留且重试可成功。不要以断客户端连接声称服务端事务一定取消。</w:t>
      </w:r>
    </w:p>
    <w:p>
      <w:pPr>
        <w:widowControl/>
        <w:spacing w:after="160" w:line="348"/>
        <w:jc w:val="both"/>
      </w:pPr>
      <w:r>
        <w:t xml:space="preserve">审查所有事务Repo/QueryBuilder只能来自回调manager/QueryRunner.manager。finally释放连接，超时回滚；禁止事务中访问全局Repository或等待外部网络。</w:t>
      </w:r>
    </w:p>
    <w:p>
      <w:pPr>
        <w:widowControl/>
        <w:spacing w:after="160" w:line="348"/>
        <w:jc w:val="both"/>
      </w:pPr>
      <w:r>
        <w:t xml:space="preserve">登录/Origin/CSRF错误不做业务查询；health/内部ready维持原探针响应形式，统一业务Filter不能改变ready的200/503{status}契约。</w:t>
      </w:r>
    </w:p>
    <w:p>
      <w:pPr>
        <w:pStyle w:val="Heading1"/>
      </w:pPr>
      <w:r>
        <w:t xml:space="preserve">三、数据量、查询计划与性能方法</w:t>
      </w:r>
    </w:p>
    <w:p>
      <w:pPr>
        <w:widowControl/>
        <w:spacing w:after="160" w:line="348"/>
        <w:jc w:val="both"/>
      </w:pPr>
      <w:r>
        <w:t xml:space="preserve">生成10000～20000条虚构数据，含不同用户、月份、方向、归档分类、软删；记录seed和随机种子。独立oracle计算目标月份，不只验证总行数。</w:t>
      </w:r>
    </w:p>
    <w:p>
      <w:pPr>
        <w:widowControl/>
        <w:spacing w:after="160" w:line="348"/>
        <w:jc w:val="both"/>
      </w:pPr>
      <w:r>
        <w:t xml:space="preserve">先查看月报和列表绑定参数SQL，运行EXPLAIN (ANALYZE,BUFFERS)；该命令会真实执行，只对只读SELECT/测试库使用。比较索引前后，记实际扫描行/Buffer/执行时长，不以出现Index Scan作为唯一成功条件。</w:t>
      </w:r>
    </w:p>
    <w:p>
      <w:pPr>
        <w:widowControl/>
        <w:spacing w:after="160" w:line="348"/>
        <w:jc w:val="both"/>
      </w:pPr>
      <w:r>
        <w:t xml:space="preserve">基线测量建议预热10次、至少100次请求，记录并发、机器、数据量、p50/p95、错误率、连接池容量。100次只是学习样本，不代表生产吞吐SLA。</w:t>
      </w:r>
    </w:p>
    <w:p>
      <w:pPr>
        <w:widowControl/>
        <w:spacing w:after="160" w:line="348"/>
        <w:jc w:val="both"/>
      </w:pPr>
      <w:r>
        <w:t xml:space="preserve">如果慢先排查查询/N+1/分页偏移/索引/锁等待；本阶段不加Redis掩盖查询问题。</w:t>
      </w:r>
    </w:p>
    <w:p>
      <w:pPr>
        <w:pStyle w:val="Heading1"/>
      </w:pPr>
      <w:r>
        <w:t xml:space="preserve">四、测试体系与契约</w:t>
      </w:r>
    </w:p>
    <w:p>
      <w:pPr>
        <w:widowControl/>
        <w:spacing w:after="160" w:line="348"/>
        <w:jc w:val="both"/>
      </w:pPr>
      <w:r>
        <w:t xml:space="preserve">按金额/时间单元、真实DB约束/事务、HTTP cookie/字段/状态、Web E2E四层组织。E2E登录与插入真实API；测试服务使用隔离DB和独立端口，关闭进程/连接。</w:t>
      </w:r>
    </w:p>
    <w:p>
      <w:pPr>
        <w:widowControl/>
        <w:spacing w:after="160" w:line="348"/>
        <w:jc w:val="both"/>
      </w:pPr>
      <w:r>
        <w:t xml:space="preserve">OpenAPI声明必需Idempotency-Key、400/401/403/404/409/429/503及响应类型；生成类型后核对行为，不修改错误断言来迎合错误实现。</w:t>
      </w:r>
    </w:p>
    <w:p>
      <w:pPr>
        <w:widowControl/>
        <w:spacing w:after="160" w:line="348"/>
        <w:jc w:val="both"/>
      </w:pPr>
      <w:r>
        <w:t xml:space="preserve">记录内部ready目前进入公开生成产物的问题：文档声明其为内部契约；M5部署前显式排除公开Swagger/客户端生成或分离内部文档，并测试。不能把“不出现在文档”当作网络鉴权。</w:t>
      </w:r>
    </w:p>
    <w:p>
      <w:pPr>
        <w:pStyle w:val="Heading1"/>
      </w:pPr>
      <w:r>
        <w:t xml:space="preserve">五、缺陷处理顺序</w:t>
      </w:r>
    </w:p>
    <w:p>
      <w:pPr>
        <w:widowControl/>
        <w:spacing w:after="160" w:line="348"/>
        <w:jc w:val="both"/>
      </w:pPr>
      <w:r>
        <w:t xml:space="preserve">优先权限/数据损坏/重复记账，其次月报/时间精度，再次资源释放/超时，最后界面和样式。修复每个缺陷先留下能失败的回归测试。</w:t>
      </w:r>
    </w:p>
    <w:p>
      <w:pPr>
        <w:widowControl/>
        <w:spacing w:after="160" w:line="348"/>
        <w:jc w:val="both"/>
      </w:pPr>
      <w:r>
        <w:t xml:space="preserve">缺陷记录用症状、最小fixture、预期/实际、根因、代码/测试位置、通过日期；未复现的推测不写“已修复”。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§8～§11；技术方案 §6、§8～§9；M1～M3 需求编号与测试证据。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health/ready 保留既有探针响应及无业务认证语义；统一业务 Filter 不改 ready 的 status 契约。会话中间件不得使 health 依赖数据库。ready 的公开生成产物与代理路由边界在M5上线前验证。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M4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M4｜P0 质量门、事务与并发可靠性｜技术方案</dc:title>
  <dc:creator>程小帮</dc:creator>
  <cp:lastModifiedBy>Un-named</cp:lastModifiedBy>
  <cp:revision>1</cp:revision>
  <dcterms:created xsi:type="dcterms:W3CDTF">2026-10-09T08:03:38.575Z</dcterms:created>
  <dcterms:modified xsi:type="dcterms:W3CDTF">2026-10-09T08:03:38.575Z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