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M6｜受限只读 AI 核心｜PRD</w:t>
      </w:r>
    </w:p>
    <w:p>
      <w:pPr>
        <w:pStyle w:val="Subtitle"/>
        <w:jc w:val="left"/>
      </w:pPr>
      <w:r>
        <w:t xml:space="preserve">2027-03-01 ～ 2027-03-28｜阶段实施设计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文档用途：定义用户、范围、接口行为、错误反馈与产品验收。</w:t>
      </w:r>
    </w:p>
    <w:p>
      <w:pPr>
        <w:widowControl/>
        <w:spacing w:after="160" w:line="348"/>
        <w:jc w:val="both"/>
      </w:pPr>
      <w:r>
        <w:t xml:space="preserve">前置门：P0和交付质量门通过；聚合SQL、身份权限、日志脱敏、真实DB测试已可靠；仅授权虚构数据能进入AI评测。模型供应商访问、数据政策与预算在实施开始核对。</w:t>
      </w:r>
    </w:p>
    <w:p>
      <w:pPr>
        <w:widowControl/>
        <w:spacing w:after="160" w:line="348"/>
        <w:jc w:val="both"/>
      </w:pPr>
      <w:r>
        <w:t xml:space="preserve">阶段产出：受限一次规划、只读工具网关、服务端事实/模板回答、预算/超时、最小AI页面和安全离线回归；不是自主多Agent，也不引入RAG/MCP。</w:t>
      </w:r>
    </w:p>
    <w:p>
      <w:pPr>
        <w:pStyle w:val="Heading1"/>
      </w:pPr>
      <w:r>
        <w:t xml:space="preserve">一、用户故事与信息边界</w:t>
      </w:r>
    </w:p>
    <w:p>
      <w:pPr>
        <w:widowControl/>
        <w:spacing w:after="160" w:line="348"/>
        <w:jc w:val="both"/>
      </w:pPr>
      <w:r>
        <w:t xml:space="preserve">用户以虚构问题询问某月收支、分类支出、两月比较或最近记录；答案含明确月份/时区、金额、记录数和可追溯来源。</w:t>
      </w:r>
    </w:p>
    <w:p>
      <w:pPr>
        <w:widowControl/>
        <w:spacing w:after="160" w:line="348"/>
        <w:jc w:val="both"/>
      </w:pPr>
      <w:r>
        <w:t xml:space="preserve">提问文本本身会发送模型供应商，页面警示不能输入真实敏感信息；不传查询结果并不代表问句绝不会外发。账本备注、分类列表、完整账单不发模型。</w:t>
      </w:r>
    </w:p>
    <w:p>
      <w:pPr>
        <w:widowControl/>
        <w:spacing w:after="160" w:line="348"/>
        <w:jc w:val="both"/>
      </w:pPr>
      <w:r>
        <w:t xml:space="preserve">模型只帮助识别意图和提出工具计划；服务端决定权限、参数、金额和事实模板。既有账本在AI故障时必须继续工作。</w:t>
      </w:r>
    </w:p>
    <w:p>
      <w:pPr>
        <w:pStyle w:val="Heading1"/>
      </w:pPr>
      <w:r>
        <w:t xml:space="preserve">二、允许与禁止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447"/>
        <w:gridCol w:w="6964"/>
      </w:tblGrid>
      <w:tr>
        <w:trPr>
          <w:cantSplit/>
          <w:tblHeader/>
        </w:trPr>
        <w:tc>
          <w:tcPr>
            <w:tcW w:type="dxa" w:w="2447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能力</w:t>
            </w:r>
          </w:p>
        </w:tc>
        <w:tc>
          <w:tcPr>
            <w:tcW w:type="dxa" w:w="6964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规则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允许意图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monthly_summary、category_summary、month_compare、recent_entries、needs_clarification、unsupported。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只读工具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getMonthlySummary(month)、getCategoryBreakdown(month,direction)、listEntries(start,end,categoryId?,limit≤20)。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拒绝能力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新增/编辑/删除流水、任意SQL、任意URL、他人数据、模型传userId、付款/理财建议、无限工具循环。</w:t>
            </w:r>
          </w:p>
        </w:tc>
      </w:tr>
      <w:tr>
        <w:trPr>
          <w:cantSplit/>
        </w:trPr>
        <w:tc>
          <w:tcPr>
            <w:tcW w:type="dxa" w:w="2447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单次限制</w:t>
            </w:r>
          </w:p>
        </w:tc>
        <w:tc>
          <w:tcPr>
            <w:tcW w:type="dxa" w:w="696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最多2个明确自然月、3个只读工具、20条明细；模型仅一次规划，最多一次受限重试；总deadline不可因重试延长。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三、需求编号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1882"/>
        <w:gridCol w:w="7529"/>
      </w:tblGrid>
      <w:tr>
        <w:trPr>
          <w:cantSplit/>
          <w:tblHeader/>
        </w:trPr>
        <w:tc>
          <w:tcPr>
            <w:tcW w:type="dxa" w:w="1882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编号</w:t>
            </w:r>
          </w:p>
        </w:tc>
        <w:tc>
          <w:tcPr>
            <w:tcW w:type="dxa" w:w="7529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产品验收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M6-R01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POST /api/v1/ai/questions仅question≤500字；服务端确定user/asOf；响应以status区分answered/needs_clarification/unsupported，并返回answer/facts/evidence/requestId。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M6-R02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数值、月份、记录数由服务端生成；facts金额分字符串；无数据明确说无记录，前月0不计算无意义百分比。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M6-R03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分类歧义询问澄清，不随意猜测；异常JSON/字段/工具/月份拒绝或一次受限重试。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M6-R04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越权和写操作均拒绝；业务表0次AI写入，运行审计/配额表允许按既定流程写元数据。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M6-R05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未登录401、防伪403、预算/频率429、供应商/总超时503；不伪造AI成功，不影响普通月报。</w:t>
            </w:r>
          </w:p>
        </w:tc>
      </w:tr>
      <w:tr>
        <w:trPr>
          <w:cantSplit/>
        </w:trPr>
        <w:tc>
          <w:tcPr>
            <w:tcW w:type="dxa" w:w="1882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M6-R06</w:t>
            </w:r>
          </w:p>
        </w:tc>
        <w:tc>
          <w:tcPr>
            <w:tcW w:type="dxa" w:w="7529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上游密钥仅服务端；日志不存原始问题/账本/备注；页面有虚构数据提示、加载/拒绝/超时和普通月报入口。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四、配置与成功门</w:t>
      </w:r>
    </w:p>
    <w:p>
      <w:pPr>
        <w:widowControl/>
        <w:spacing w:after="160" w:line="348"/>
        <w:jc w:val="both"/>
      </w:pPr>
      <w:r>
        <w:t xml:space="preserve">模型ID、供应商、并发/每日费用上限、token和deadline都是实施前显式配置，不在文件内填假价格或假预算；没有可用预算不触发真实调用。</w:t>
      </w:r>
    </w:p>
    <w:p>
      <w:pPr>
        <w:widowControl/>
        <w:spacing w:after="160" w:line="348"/>
        <w:jc w:val="both"/>
      </w:pPr>
      <w:r>
        <w:t xml:space="preserve">本阶段允许可替换ModelAdapter做离线权限/故障测试，但要标注离线；真实模型表现必须由M7验证，不能把固定mock回答当作AI产品已上线。</w:t>
      </w:r>
    </w:p>
    <w:p>
      <w:pPr>
        <w:widowControl/>
        <w:spacing w:after="160" w:line="348"/>
        <w:jc w:val="both"/>
      </w:pPr>
      <w:r>
        <w:t xml:space="preserve">至少能在授权虚构数据上完成一个真实模型规划→工具→模板答案；所有安全回归通过，工具计划及费用可追踪。真实模型访问阻塞则M6在线部分未完成。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§7～§8；技术方案 §7～§9；M4/M5 安全、聚合和交付质量门。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M6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M6｜受限只读 AI 核心｜PRD</dc:title>
  <dc:creator>程小帮</dc:creator>
  <cp:lastModifiedBy>Un-named</cp:lastModifiedBy>
  <cp:revision>1</cp:revision>
  <dcterms:created xsi:type="dcterms:W3CDTF">2026-10-09T08:03:38.598Z</dcterms:created>
  <dcterms:modified xsi:type="dcterms:W3CDTF">2026-10-09T08:03:38.598Z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