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M2｜分类、流水创建与列表｜学习与执行计划</w:t>
      </w:r>
    </w:p>
    <w:p>
      <w:pPr>
        <w:pStyle w:val="Subtitle"/>
        <w:jc w:val="left"/>
      </w:pPr>
      <w:r>
        <w:t xml:space="preserve">2026-11-09 ～ 2026-12-06｜阶段实施设计 v1.0｜2026-10-09</w:t>
      </w:r>
    </w:p>
    <w:p>
      <w:pPr>
        <w:widowControl/>
        <w:spacing w:after="160" w:line="348"/>
        <w:jc w:val="both"/>
      </w:pPr>
      <w:r>
        <w:t xml:space="preserve">当前状态：计划／未开始。内容定义后续实施目标，不表示业务已实现、测试已通过或环境已部署。</w:t>
      </w:r>
    </w:p>
    <w:p>
      <w:pPr>
        <w:widowControl/>
        <w:spacing w:after="160" w:line="348"/>
        <w:jc w:val="both"/>
      </w:pPr>
      <w:r>
        <w:t xml:space="preserve">文档用途：按四周目标窗口拆解任务、学习重点、建议工时、证据与顺延规则。</w:t>
      </w:r>
    </w:p>
    <w:p>
      <w:pPr>
        <w:widowControl/>
        <w:spacing w:after="160" w:line="348"/>
        <w:jc w:val="both"/>
      </w:pPr>
      <w:r>
        <w:t xml:space="preserve">前置门：M1 的显式 migration、虚构账号、持久化会话、Origin/CSRF、登录/退出/me 与首次业务请求生命周期已通过验收。</w:t>
      </w:r>
    </w:p>
    <w:p>
      <w:pPr>
        <w:widowControl/>
        <w:spacing w:after="160" w:line="348"/>
        <w:jc w:val="both"/>
      </w:pPr>
      <w:r>
        <w:t xml:space="preserve">阶段产出：本人分类管理、创建流水与分页列表、基本 Web 页面、字段错误与跨用户隔离证据。公开创建接口必须满足基础事务幂等，不能先发布会重复记账的版本。</w:t>
      </w:r>
    </w:p>
    <w:p>
      <w:pPr>
        <w:pStyle w:val="Heading1"/>
      </w:pPr>
      <w:r>
        <w:t xml:space="preserve">执行容量与日期口径</w:t>
      </w:r>
    </w:p>
    <w:p>
      <w:pPr>
        <w:widowControl/>
        <w:spacing w:after="160" w:line="348"/>
        <w:jc w:val="both"/>
      </w:pPr>
      <w:r>
        <w:t xml:space="preserve">每周4小时模式：3小时深度任务＋0.5小时阅读＋0.5小时算法/复盘；5小时模式：4小时深度任务＋1小时轻量学习。任务卡约15～16小时属于核心工作估算，另保留四周共4小时轻量学习后，总量约19～20小时。四周5小时模式才基本容纳全部内容且缓冲很少；4小时模式通常需至少5～6周。环境阻塞/缺陷超过余量即顺延，不增加通勤硬编码或熬夜补课。</w:t>
      </w:r>
    </w:p>
    <w:p>
      <w:pPr>
        <w:widowControl/>
        <w:spacing w:after="160" w:line="348"/>
        <w:jc w:val="both"/>
      </w:pPr>
      <w:r>
        <w:t xml:space="preserve">日期为七个四周学习月的目标窗口；依赖阶段未验收则顺延。绿周≥5小时、黄周3～4小时、红周≤2小时只维护与复盘；睡眠、权限、事务和测试不用于“赶日期”。</w:t>
      </w:r>
    </w:p>
    <w:p>
      <w:pPr>
        <w:pStyle w:val="Heading1"/>
      </w:pPr>
      <w:r>
        <w:t xml:space="preserve">一、四周规划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2353"/>
        <w:gridCol w:w="7058"/>
      </w:tblGrid>
      <w:tr>
        <w:trPr>
          <w:cantSplit/>
          <w:tblHeader/>
        </w:trPr>
        <w:tc>
          <w:tcPr>
            <w:tcW w:type="dxa" w:w="2353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周</w:t>
            </w:r>
          </w:p>
        </w:tc>
        <w:tc>
          <w:tcPr>
            <w:tcW w:type="dxa" w:w="7058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任务与产物</w:t>
            </w:r>
          </w:p>
        </w:tc>
      </w:tr>
      <w:tr>
        <w:trPr>
          <w:cantSplit/>
        </w:trPr>
        <w:tc>
          <w:tcPr>
            <w:tcW w:type="dxa" w:w="23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W1 11-09～11-15</w:t>
            </w:r>
          </w:p>
        </w:tc>
        <w:tc>
          <w:tcPr>
            <w:tcW w:type="dxa" w:w="70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migration/Entity和分类Service/HTTP；A/B、活动重名、归档规则测试；半小时读复合外键和部分索引。</w:t>
            </w:r>
          </w:p>
        </w:tc>
      </w:tr>
      <w:tr>
        <w:trPr>
          <w:cantSplit/>
        </w:trPr>
        <w:tc>
          <w:tcPr>
            <w:tcW w:type="dxa" w:w="23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W2 11-16～11-22</w:t>
            </w:r>
          </w:p>
        </w:tc>
        <w:tc>
          <w:tcPr>
            <w:tcW w:type="dxa" w:w="70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金额/时间Schema、entries migration、同事务基础幂等和创建接口；失败/冲突测试。</w:t>
            </w:r>
          </w:p>
        </w:tc>
      </w:tr>
      <w:tr>
        <w:trPr>
          <w:cantSplit/>
        </w:trPr>
        <w:tc>
          <w:tcPr>
            <w:tcW w:type="dxa" w:w="23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W3 11-23～11-29</w:t>
            </w:r>
          </w:p>
        </w:tc>
        <w:tc>
          <w:tcPr>
            <w:tcW w:type="dxa" w:w="70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本人月份分页与筛选；分类/新增/列表Web，使用生成契约类型。</w:t>
            </w:r>
          </w:p>
        </w:tc>
      </w:tr>
      <w:tr>
        <w:trPr>
          <w:cantSplit/>
        </w:trPr>
        <w:tc>
          <w:tcPr>
            <w:tcW w:type="dxa" w:w="23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W4 11-30～12-06</w:t>
            </w:r>
          </w:p>
        </w:tc>
        <w:tc>
          <w:tcPr>
            <w:tcW w:type="dxa" w:w="70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真实API端到端演示、字段错误/重试/账户切换；补边界测试并记录验收。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二、任务卡与估算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2447"/>
        <w:gridCol w:w="6964"/>
      </w:tblGrid>
      <w:tr>
        <w:trPr>
          <w:cantSplit/>
          <w:tblHeader/>
        </w:trPr>
        <w:tc>
          <w:tcPr>
            <w:tcW w:type="dxa" w:w="2447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卡片</w:t>
            </w:r>
          </w:p>
        </w:tc>
        <w:tc>
          <w:tcPr>
            <w:tcW w:type="dxa" w:w="6964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依赖、动作与证据</w:t>
            </w:r>
          </w:p>
        </w:tc>
      </w:tr>
      <w:tr>
        <w:trPr>
          <w:cantSplit/>
        </w:trPr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M2-T01 1.5h</w:t>
            </w:r>
          </w:p>
        </w:tc>
        <w:tc>
          <w:tcPr>
            <w:tcW w:type="dxa" w:w="69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M1通过；分类migration/Entity；DB唯一与跨账号验证。</w:t>
            </w:r>
          </w:p>
        </w:tc>
      </w:tr>
      <w:tr>
        <w:trPr>
          <w:cantSplit/>
        </w:trPr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M2-T02 2h</w:t>
            </w:r>
          </w:p>
        </w:tc>
        <w:tc>
          <w:tcPr>
            <w:tcW w:type="dxa" w:w="69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T01；分类服务+API；归档/方向不可变/404测试。</w:t>
            </w:r>
          </w:p>
        </w:tc>
      </w:tr>
      <w:tr>
        <w:trPr>
          <w:cantSplit/>
        </w:trPr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M2-T03 1.5h</w:t>
            </w:r>
          </w:p>
        </w:tc>
        <w:tc>
          <w:tcPr>
            <w:tcW w:type="dxa" w:w="69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金额/月份工具先写失败边界；再接Zod和Swagger。</w:t>
            </w:r>
          </w:p>
        </w:tc>
      </w:tr>
      <w:tr>
        <w:trPr>
          <w:cantSplit/>
        </w:trPr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M2-T04 2h</w:t>
            </w:r>
          </w:p>
        </w:tc>
        <w:tc>
          <w:tcPr>
            <w:tcW w:type="dxa" w:w="69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entry/幂等migration；PK/FK/金额/请求键约束测试。</w:t>
            </w:r>
          </w:p>
        </w:tc>
      </w:tr>
      <w:tr>
        <w:trPr>
          <w:cantSplit/>
        </w:trPr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M2-T05 2h</w:t>
            </w:r>
          </w:p>
        </w:tc>
        <w:tc>
          <w:tcPr>
            <w:tcW w:type="dxa" w:w="69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manager创建事务和基础幂等；重复键/冲突/回滚。</w:t>
            </w:r>
          </w:p>
        </w:tc>
      </w:tr>
      <w:tr>
        <w:trPr>
          <w:cantSplit/>
        </w:trPr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M2-T06 1.5h</w:t>
            </w:r>
          </w:p>
        </w:tc>
        <w:tc>
          <w:tcPr>
            <w:tcW w:type="dxa" w:w="69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月份分页和total；排序相同时间、非法页数/分类。</w:t>
            </w:r>
          </w:p>
        </w:tc>
      </w:tr>
      <w:tr>
        <w:trPr>
          <w:cantSplit/>
        </w:trPr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M2-T07 2h</w:t>
            </w:r>
          </w:p>
        </w:tc>
        <w:tc>
          <w:tcPr>
            <w:tcW w:type="dxa" w:w="69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Web分类/创建表单与金额字符串转换。</w:t>
            </w:r>
          </w:p>
        </w:tc>
      </w:tr>
      <w:tr>
        <w:trPr>
          <w:cantSplit/>
        </w:trPr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M2-T08 2h</w:t>
            </w:r>
          </w:p>
        </w:tc>
        <w:tc>
          <w:tcPr>
            <w:tcW w:type="dxa" w:w="69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Web分页/错误与重试；操作键不变、账户缓存清理。</w:t>
            </w:r>
          </w:p>
        </w:tc>
      </w:tr>
      <w:tr>
        <w:trPr>
          <w:cantSplit/>
        </w:trPr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M2-T09 1.5h</w:t>
            </w:r>
          </w:p>
        </w:tc>
        <w:tc>
          <w:tcPr>
            <w:tcW w:type="dxa" w:w="69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contracts/check/真实DB、两账号演示与验收追踪。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三、学习、自测与停损</w:t>
      </w:r>
    </w:p>
    <w:p>
      <w:pPr>
        <w:widowControl/>
        <w:spacing w:after="160" w:line="348"/>
        <w:jc w:val="both"/>
      </w:pPr>
      <w:r>
        <w:t xml:space="preserve">核心任务估算16小时，阅读和环境回归另留0～4小时；单卡超过2小时拆分，不通过省测试硬赶。每周基础：周末两次1.5小时、两次15分钟轻量学习、30分钟算法/复盘。</w:t>
      </w:r>
    </w:p>
    <w:p>
      <w:pPr>
        <w:widowControl/>
        <w:spacing w:after="160" w:line="348"/>
        <w:jc w:val="both"/>
      </w:pPr>
      <w:r>
        <w:t xml:space="preserve">自测：为什么复合FK不能代替服务授权；为什么BIGINT读出是string；为什么归档不能delete分类；为什么disabled按钮不能保证幂等。</w:t>
      </w:r>
    </w:p>
    <w:p>
      <w:pPr>
        <w:widowControl/>
        <w:spacing w:after="160" w:line="348"/>
        <w:jc w:val="both"/>
      </w:pPr>
      <w:r>
        <w:t xml:space="preserve">算法选双指针/窗口/栈的1道题，忙周暂停。时间不足先去掉UI美化与复杂筛选，不去掉创建幂等或字段/对象校验。</w:t>
      </w:r>
    </w:p>
    <w:p>
      <w:pPr>
        <w:widowControl/>
        <w:spacing w:after="160" w:line="348"/>
        <w:jc w:val="both"/>
      </w:pPr>
      <w:r>
        <w:t xml:space="preserve">逐条记录M2-R01～07测试名、实际命令、结果与日期；所有计划文件当前为未实施目标。阶段未过不得向M3宣称账本创建已可靠。</w:t>
      </w:r>
    </w:p>
    <w:p>
      <w:pPr>
        <w:pStyle w:val="Heading1"/>
      </w:pPr>
      <w:r>
        <w:t xml:space="preserve">依据与实施状态</w:t>
      </w:r>
    </w:p>
    <w:p>
      <w:pPr>
        <w:widowControl/>
        <w:spacing w:after="160" w:line="348"/>
        <w:jc w:val="both"/>
      </w:pPr>
      <w:r>
        <w:t xml:space="preserve">基线：49410c2（2026-10-09核对）；总计划：plan/2026-10-09-个人账本全栈学习计划.docx。产品依据：docs/PRD-fullstack-ai-ledger.md；技术依据：docs/TECH-PLAN-fullstack-ai-ledger.md。重点章节：PRD §3、§5～§6、§8；技术方案 §4～§6、§9；M1 认证/数据库出门条件。</w:t>
      </w:r>
    </w:p>
    <w:p>
      <w:pPr>
        <w:widowControl/>
        <w:spacing w:after="160" w:line="348"/>
        <w:jc w:val="both"/>
      </w:pPr>
      <w:r>
        <w:t xml:space="preserve">通用约束：只有虚构数据；NestJS/React 单体、本机 PostgreSQL、TypeORM、单一 DATABASE_URL；synchronize:false、migrationsRun:false；无 Docker、Redis 或新业务框架。金额分字符串，月份固定上海时区。文档中的目标文件、命令与验收不是已有实现。</w:t>
      </w:r>
    </w:p>
    <w:p>
      <w:pPr>
        <w:widowControl/>
        <w:spacing w:after="160" w:line="348"/>
        <w:jc w:val="both"/>
      </w:pPr>
      <w:r>
        <w:t xml:space="preserve">阶段完成状态与实际命令/证据记录在本目录 README.md。未执行项目保持未验证；历史原型测试不能替代本阶段验收。</w:t>
      </w:r>
    </w:p>
    <w:sectPr>
      <w:footerReference w:type="default" r:id="rId7"/>
      <w:pgSz w:w="11905" w:h="16837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color w:val="5B6573"/>
        <w:sz w:val="18"/>
        <w:szCs w:val="18"/>
      </w:rPr>
      <w:t xml:space="preserve">M2 · 虚构数据学习项目</w:t>
    </w:r>
    <w:r>
      <w:rPr>
        <w:color w:val="5B6573"/>
        <w:sz w:val="18"/>
        <w:szCs w:val="18"/>
      </w:rPr>
      <w:t xml:space="preserve">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3" w:hanging="226"/>
      </w:pPr>
    </w:lvl>
    <w:lvl w:ilvl="1" w15:tentative="1">
      <w:start w:val="1"/>
      <w:numFmt w:val="bullet"/>
      <w:lvlText w:val="◦"/>
      <w:lvlJc w:val="left"/>
      <w:pPr>
        <w:ind w:left="907" w:hanging="226"/>
      </w:pPr>
    </w:lvl>
    <w:lvl w:ilvl="2" w15:tentative="1">
      <w:start w:val="1"/>
      <w:numFmt w:val="bullet"/>
      <w:lvlText w:val="▪"/>
      <w:lvlJc w:val="left"/>
      <w:pPr>
        <w:ind w:left="1360" w:hanging="22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3" w:hanging="226"/>
      </w:pPr>
    </w:lvl>
    <w:lvl w:ilvl="1" w15:tentative="1">
      <w:start w:val="1"/>
      <w:numFmt w:val="lowerLetter"/>
      <w:lvlText w:val="%2."/>
      <w:lvlJc w:val="left"/>
      <w:pPr>
        <w:ind w:left="907" w:hanging="226"/>
      </w:pPr>
    </w:lvl>
    <w:lvl w:ilvl="2" w15:tentative="1">
      <w:start w:val="1"/>
      <w:numFmt w:val="lowerRoman"/>
      <w:lvlText w:val="%3."/>
      <w:lvlJc w:val="left"/>
      <w:pPr>
        <w:ind w:left="136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202936"/>
        <w:sz w:val="22"/>
        <w:szCs w:val="22"/>
      </w:rPr>
    </w:rPrDefault>
    <w:pPrDefault>
      <w:pPr>
        <w:widowControl/>
        <w:spacing w:after="160" w:line="348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160" w:before="0" w:line="288"/>
    </w:pPr>
    <w:rPr>
      <w:rFonts w:ascii="PingFang SC" w:cs="PingFang SC" w:eastAsia="PingFang SC" w:hAnsi="PingFang SC"/>
      <w:b/>
      <w:bCs/>
      <w:color w:val="1E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00" w:line="288"/>
      <w:outlineLvl w:val="0"/>
    </w:pPr>
    <w:rPr>
      <w:rFonts w:ascii="PingFang SC" w:cs="PingFang SC" w:eastAsia="PingFang SC" w:hAnsi="PingFang SC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20" w:line="288"/>
      <w:outlineLvl w:val="1"/>
    </w:pPr>
    <w:rPr>
      <w:rFonts w:ascii="PingFang SC" w:cs="PingFang SC" w:eastAsia="PingFang SC" w:hAnsi="PingFang SC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20" w:line="288"/>
      <w:outlineLvl w:val="2"/>
    </w:pPr>
    <w:rPr>
      <w:rFonts w:ascii="PingFang SC" w:cs="PingFang SC" w:eastAsia="PingFang SC" w:hAnsi="PingFang SC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120" w:before="220" w:line="288"/>
      <w:outlineLvl w:val="3"/>
    </w:pPr>
    <w:rPr>
      <w:rFonts w:ascii="PingFang SC" w:cs="PingFang SC" w:eastAsia="PingFang SC" w:hAnsi="PingFang SC"/>
      <w:b/>
      <w:bCs/>
      <w:color w:val="1E3A5F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widowControl/>
      <w:spacing w:after="160" w:line="348"/>
    </w:pPr>
    <w:rPr>
      <w:rFonts w:ascii="PingFang SC" w:cs="PingFang SC" w:eastAsia="PingFang SC" w:hAnsi="PingFang SC"/>
      <w:color w:val="202936"/>
      <w:sz w:val="22"/>
      <w:szCs w:val="22"/>
    </w:rPr>
  </w:style>
  <w:style w:type="paragraph" w:styleId="TableText">
    <w:name w:val="Table Text"/>
    <w:pPr>
      <w:spacing w:after="0" w:before="0" w:line="240"/>
      <w:ind w:left="0" w:right="0" w:firstLine="0"/>
    </w:pPr>
    <w:rPr>
      <w:rFonts w:ascii="PingFang SC" w:cs="PingFang SC" w:eastAsia="PingFang SC" w:hAnsi="PingFang SC"/>
      <w:sz w:val="20"/>
      <w:szCs w:val="20"/>
    </w:rPr>
  </w:style>
  <w:style w:type="paragraph" w:styleId="Subtitle">
    <w:name w:val="Subtitle"/>
    <w:pPr>
      <w:keepNext/>
      <w:keepLines/>
      <w:spacing w:after="280" w:before="0"/>
    </w:pPr>
    <w:rPr>
      <w:color w:val="5B6573"/>
      <w:sz w:val="22"/>
      <w:szCs w:val="22"/>
    </w:rPr>
  </w:style>
  <w:style w:type="paragraph" w:styleId="Caption">
    <w:name w:val="Caption"/>
    <w:pPr>
      <w:keepLines/>
      <w:spacing w:after="160" w:before="0" w:line="264"/>
    </w:pPr>
    <w:rPr>
      <w:color w:val="5B657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M2｜分类、流水创建与列表｜学习与执行计划</dc:title>
  <dc:creator>程小帮</dc:creator>
  <cp:lastModifiedBy>Un-named</cp:lastModifiedBy>
  <cp:revision>1</cp:revision>
  <dcterms:created xsi:type="dcterms:W3CDTF">2026-10-09T08:03:38.548Z</dcterms:created>
  <dcterms:modified xsi:type="dcterms:W3CDTF">2026-10-09T08:03:38.548Z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