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M5｜交付、可观测性与恢复｜技术方案</w:t>
      </w:r>
    </w:p>
    <w:p>
      <w:pPr>
        <w:pStyle w:val="Subtitle"/>
        <w:jc w:val="left"/>
      </w:pPr>
      <w:r>
        <w:t xml:space="preserve">2027-02-01 ～ 2027-02-28｜阶段实施设计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文档用途：定义模块、数据库、事务/信任边界、前端契约与测试方法。</w:t>
      </w:r>
    </w:p>
    <w:p>
      <w:pPr>
        <w:widowControl/>
        <w:spacing w:after="160" w:line="348"/>
        <w:jc w:val="both"/>
      </w:pPr>
      <w:r>
        <w:t xml:space="preserve">前置门：P0质量门通过；迁移、种子、全套测试命令已真实存在，未解决的权限/数据/幂等问题不得带入部署。</w:t>
      </w:r>
    </w:p>
    <w:p>
      <w:pPr>
        <w:widowControl/>
        <w:spacing w:after="160" w:line="348"/>
        <w:jc w:val="both"/>
      </w:pPr>
      <w:r>
        <w:t xml:space="preserve">阶段产出：可复现CI与环境说明、requestId/脱敏观测、受控同源HTTPS预览或等价部署演练、备份恢复证据。</w:t>
      </w:r>
    </w:p>
    <w:p>
      <w:pPr>
        <w:pStyle w:val="Heading1"/>
      </w:pPr>
      <w:r>
        <w:t xml:space="preserve">一、部署拓扑与边界</w:t>
      </w:r>
    </w:p>
    <w:p>
      <w:pPr>
        <w:widowControl/>
        <w:spacing w:after="160" w:line="348"/>
        <w:jc w:val="both"/>
      </w:pPr>
      <w:r>
        <w:t xml:space="preserve">单实例：浏览器 → HTTPS反向代理（静态Web、/api/v1）→ loopback Nest API → 私有PostgreSQL。应用迁移与运行读同一个DATABASE_URL配置键，可由独立进程注入不同权限凭据。</w:t>
      </w:r>
    </w:p>
    <w:p>
      <w:pPr>
        <w:widowControl/>
        <w:spacing w:after="160" w:line="348"/>
        <w:jc w:val="both"/>
      </w:pPr>
      <w:r>
        <w:t xml:space="preserve">采用非Docker运行环境；CI真实PostgreSQL来自runner本机service或受控专用实例，不复用开发/默认postgres库。测试删除前执行库名/主机允许校验。</w:t>
      </w:r>
    </w:p>
    <w:p>
      <w:pPr>
        <w:widowControl/>
        <w:spacing w:after="160" w:line="348"/>
        <w:jc w:val="both"/>
      </w:pPr>
      <w:r>
        <w:t xml:space="preserve">SESSION_SECRET/可信APP_ORIGIN/模型未来密钥由部署秘密注入，不写真实值到.env.example。Cookie Secure开启；代理trust范围限定，不能信任任意X-Forwarded头。</w:t>
      </w:r>
    </w:p>
    <w:p>
      <w:pPr>
        <w:widowControl/>
        <w:spacing w:after="160" w:line="348"/>
        <w:jc w:val="both"/>
      </w:pPr>
      <w:r>
        <w:t xml:space="preserve">业务上线前分离公共Swagger和内部ready：公共文档/前端类型排除内部路径或单独内部产物；反向代理白名单是实际暴露边界，不靠文档排除实现安全。</w:t>
      </w:r>
    </w:p>
    <w:p>
      <w:pPr>
        <w:pStyle w:val="Heading1"/>
      </w:pPr>
      <w:r>
        <w:t xml:space="preserve">二、CI门禁与工具命令</w:t>
      </w:r>
    </w:p>
    <w:p>
      <w:pPr>
        <w:widowControl/>
        <w:spacing w:after="160" w:line="348"/>
        <w:jc w:val="both"/>
      </w:pPr>
      <w:r>
        <w:t xml:space="preserve">现有pnpm check=contracts→typecheck→API/Web普通测试→build；没有lint、migration、业务DB集成、E2E。新增检查必须先建立实际package scripts和配置，再加CI。</w:t>
      </w:r>
    </w:p>
    <w:p>
      <w:pPr>
        <w:widowControl/>
        <w:spacing w:after="160" w:line="348"/>
        <w:jc w:val="both"/>
      </w:pPr>
      <w:r>
        <w:t xml:space="preserve">建议流程：锁文件安装→提供有效非秘密DB URL/认证测试配置→普通检查→在独立库显式migrate→真实DB/HTTP/E2E→build。contracts允许合法但不可达URL、不得隐式迁移。</w:t>
      </w:r>
    </w:p>
    <w:p>
      <w:pPr>
        <w:widowControl/>
        <w:spacing w:after="160" w:line="348"/>
        <w:jc w:val="both"/>
      </w:pPr>
      <w:r>
        <w:t xml:space="preserve">contracts会改生成文件，所以CI在生成后比较docs/openapi.json与Web api-types的Git diff，新鲜度不符失败。secret不能输出完整环境。</w:t>
      </w:r>
    </w:p>
    <w:p>
      <w:pPr>
        <w:widowControl/>
        <w:spacing w:after="160" w:line="348"/>
        <w:jc w:val="both"/>
      </w:pPr>
      <w:r>
        <w:t xml:space="preserve">lint使用项目统一规则，先校验引入影响，避免阶段顺带重排全仓库。CI失败保留错误，不关闭安全/事务用例。</w:t>
      </w:r>
    </w:p>
    <w:p>
      <w:pPr>
        <w:pStyle w:val="Heading1"/>
      </w:pPr>
      <w:r>
        <w:t xml:space="preserve">三、日志、指标与故障定位</w:t>
      </w:r>
    </w:p>
    <w:p>
      <w:pPr>
        <w:widowControl/>
        <w:spacing w:after="160" w:line="348"/>
        <w:jc w:val="both"/>
      </w:pPr>
      <w:r>
        <w:t xml:space="preserve">入站请求ID验证长度/字符，不可信任客户端ID进行身份授权。反向代理/API传播已验证requestId；在中间件完成事件记录Guard/Pipe拒绝也能追踪。</w:t>
      </w:r>
    </w:p>
    <w:p>
      <w:pPr>
        <w:widowControl/>
        <w:spacing w:after="160" w:line="348"/>
        <w:jc w:val="both"/>
      </w:pPr>
      <w:r>
        <w:t xml:space="preserve">允许日志：route模板、status、durationMs、error.code、匿名用户键、DB错误类别/池使用数。禁止原始SQL参数/完整body、SID、password/hash、DATABASE_URL。</w:t>
      </w:r>
    </w:p>
    <w:p>
      <w:pPr>
        <w:widowControl/>
        <w:spacing w:after="160" w:line="348"/>
        <w:jc w:val="both"/>
      </w:pPr>
      <w:r>
        <w:t xml:space="preserve">关注5xx/503比例、HTTP p95、连接池与慢查询、锁等待。先做结构化stdout+轻量统计，不引入大型日志平台。用授权本地fixture故障产生503并追踪一例。</w:t>
      </w:r>
    </w:p>
    <w:p>
      <w:pPr>
        <w:widowControl/>
        <w:spacing w:after="160" w:line="348"/>
        <w:jc w:val="both"/>
      </w:pPr>
      <w:r>
        <w:t xml:space="preserve">ready继续status:ready/not_ready；业务统一error信封，不让Filter改探针语义。最大语句/锁/连接等待与HTTP总时长应有界，取消或超时后回滚释放资源。</w:t>
      </w:r>
    </w:p>
    <w:p>
      <w:pPr>
        <w:pStyle w:val="Heading1"/>
      </w:pPr>
      <w:r>
        <w:t xml:space="preserve">四、迁移发布与备份恢复</w:t>
      </w:r>
    </w:p>
    <w:p>
      <w:pPr>
        <w:widowControl/>
        <w:spacing w:after="160" w:line="348"/>
        <w:jc w:val="both"/>
      </w:pPr>
      <w:r>
        <w:t xml:space="preserve">发布顺序：记录revision/迁移版本→备份（尤其破坏性变更）→独立显式迁移→启动新版→内部ready→业务/浏览器烟测。应用账户不获得无必要DDL权限。</w:t>
      </w:r>
    </w:p>
    <w:p>
      <w:pPr>
        <w:widowControl/>
        <w:spacing w:after="160" w:line="348"/>
        <w:jc w:val="both"/>
      </w:pPr>
      <w:r>
        <w:t xml:space="preserve">使用本机pg_dump/pg_restore或同等PostgreSQL工具，备份存隔离目录，不入Git。恢复目标必须专用空库；确认PG版本、schema/migration历史及seed策略，不能在恢复后重复seed覆盖密码。</w:t>
      </w:r>
    </w:p>
    <w:p>
      <w:pPr>
        <w:widowControl/>
        <w:spacing w:after="160" w:line="348"/>
        <w:jc w:val="both"/>
      </w:pPr>
      <w:r>
        <w:t xml:space="preserve">恢复验收核对用户隔离、流水数/软删数、独立SQL月报、首次创建快照重放；只看restore退出0不够。记录耗时、备份时间与可恢复窗口，不伪称RPO/RTO已达SLA。</w:t>
      </w:r>
    </w:p>
    <w:p>
      <w:pPr>
        <w:widowControl/>
        <w:spacing w:after="160" w:line="348"/>
        <w:jc w:val="both"/>
      </w:pPr>
      <w:r>
        <w:t xml:space="preserve">migration down仅可在可丢弃测试库演练；若迁移损坏已有数据，优先前向修复或经审批恢复，不把git rollback/down等同恢复全部数据。</w:t>
      </w:r>
    </w:p>
    <w:p>
      <w:pPr>
        <w:pStyle w:val="Heading1"/>
      </w:pPr>
      <w:r>
        <w:t xml:space="preserve">五、观测与验证</w:t>
      </w:r>
    </w:p>
    <w:p>
      <w:pPr>
        <w:widowControl/>
        <w:spacing w:after="160" w:line="348"/>
        <w:jc w:val="both"/>
      </w:pPr>
      <w:r>
        <w:t xml:space="preserve">HTTPS实际浏览器检查Cookie、CSRF、防缓存与同源；公网/internal/ready应被拒绝且PostgreSQL端口不可达。授权目标仅自己的预览环境，不做外部扫描。</w:t>
      </w:r>
    </w:p>
    <w:p>
      <w:pPr>
        <w:widowControl/>
        <w:spacing w:after="160" w:line="348"/>
        <w:jc w:val="both"/>
      </w:pPr>
      <w:r>
        <w:t xml:space="preserve">测试硬件、记录数、查询、并发、预热/样本量、p50/p95与错误率；本机M4结果与预览结果分开，不能混样。</w:t>
      </w:r>
    </w:p>
    <w:p>
      <w:pPr>
        <w:widowControl/>
        <w:spacing w:after="160" w:line="348"/>
        <w:jc w:val="both"/>
      </w:pPr>
      <w:r>
        <w:t xml:space="preserve">文档目标：docs/local-development.md、deployment.md、backup.md（未来文件）；写实际已实现命令、环境键和恢复警告，不复制未验证通用教程。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§8～§11；技术方案 §8～§9；M4 P0门、根目录 package scripts。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health/ready 保留既有探针响应及无业务认证语义；统一业务 Filter 不改 ready 的 status 契约。会话中间件不得使 health 依赖数据库。ready 的公开生成产物与代理路由边界在M5上线前验证。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M5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M5｜交付、可观测性与恢复｜技术方案</dc:title>
  <dc:creator>程小帮</dc:creator>
  <cp:lastModifiedBy>Un-named</cp:lastModifiedBy>
  <cp:revision>1</cp:revision>
  <dcterms:created xsi:type="dcterms:W3CDTF">2026-10-09T08:03:38.588Z</dcterms:created>
  <dcterms:modified xsi:type="dcterms:W3CDTF">2026-10-09T08:03:38.588Z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