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M6｜受限只读 AI 核心｜学习与执行计划</w:t>
      </w:r>
    </w:p>
    <w:p>
      <w:pPr>
        <w:pStyle w:val="Subtitle"/>
        <w:jc w:val="left"/>
      </w:pPr>
      <w:r>
        <w:t xml:space="preserve">2027-03-01 ～ 2027-03-28｜阶段实施设计 v1.0｜2026-10-09</w:t>
      </w:r>
    </w:p>
    <w:p>
      <w:pPr>
        <w:widowControl/>
        <w:spacing w:after="160" w:line="348"/>
        <w:jc w:val="both"/>
      </w:pPr>
      <w:r>
        <w:t xml:space="preserve">当前状态：计划／未开始。内容定义后续实施目标，不表示业务已实现、测试已通过或环境已部署。</w:t>
      </w:r>
    </w:p>
    <w:p>
      <w:pPr>
        <w:widowControl/>
        <w:spacing w:after="160" w:line="348"/>
        <w:jc w:val="both"/>
      </w:pPr>
      <w:r>
        <w:t xml:space="preserve">文档用途：按四周目标窗口拆解任务、学习重点、建议工时、证据与顺延规则。</w:t>
      </w:r>
    </w:p>
    <w:p>
      <w:pPr>
        <w:widowControl/>
        <w:spacing w:after="160" w:line="348"/>
        <w:jc w:val="both"/>
      </w:pPr>
      <w:r>
        <w:t xml:space="preserve">前置门：P0和交付质量门通过；聚合SQL、身份权限、日志脱敏、真实DB测试已可靠；仅授权虚构数据能进入AI评测。模型供应商访问、数据政策与预算在实施开始核对。</w:t>
      </w:r>
    </w:p>
    <w:p>
      <w:pPr>
        <w:widowControl/>
        <w:spacing w:after="160" w:line="348"/>
        <w:jc w:val="both"/>
      </w:pPr>
      <w:r>
        <w:t xml:space="preserve">阶段产出：受限一次规划、只读工具网关、服务端事实/模板回答、预算/超时、最小AI页面和安全离线回归；不是自主多Agent，也不引入RAG/MCP。</w:t>
      </w:r>
    </w:p>
    <w:p>
      <w:pPr>
        <w:pStyle w:val="Heading1"/>
      </w:pPr>
      <w:r>
        <w:t xml:space="preserve">执行容量与日期口径</w:t>
      </w:r>
    </w:p>
    <w:p>
      <w:pPr>
        <w:widowControl/>
        <w:spacing w:after="160" w:line="348"/>
        <w:jc w:val="both"/>
      </w:pPr>
      <w:r>
        <w:t xml:space="preserve">每周4小时模式：3小时深度任务＋0.5小时阅读＋0.5小时算法/复盘；5小时模式：4小时深度任务＋1小时轻量学习。任务卡约15～16小时属于核心工作估算，另保留四周共4小时轻量学习后，总量约19～20小时。四周5小时模式才基本容纳全部内容且缓冲很少；4小时模式通常需至少5～6周。环境阻塞/缺陷超过余量即顺延，不增加通勤硬编码或熬夜补课。</w:t>
      </w:r>
    </w:p>
    <w:p>
      <w:pPr>
        <w:widowControl/>
        <w:spacing w:after="160" w:line="348"/>
        <w:jc w:val="both"/>
      </w:pPr>
      <w:r>
        <w:t xml:space="preserve">日期为七个四周学习月的目标窗口；依赖阶段未验收则顺延。绿周≥5小时、黄周3～4小时、红周≤2小时只维护与复盘；睡眠、权限、事务和测试不用于“赶日期”。</w:t>
      </w:r>
    </w:p>
    <w:p>
      <w:pPr>
        <w:pStyle w:val="Heading1"/>
      </w:pPr>
      <w:r>
        <w:t xml:space="preserve">一、四周拆分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353"/>
        <w:gridCol w:w="7058"/>
      </w:tblGrid>
      <w:tr>
        <w:trPr>
          <w:cantSplit/>
          <w:tblHeader/>
        </w:trPr>
        <w:tc>
          <w:tcPr>
            <w:tcW w:type="dxa" w:w="2353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周</w:t>
            </w:r>
          </w:p>
        </w:tc>
        <w:tc>
          <w:tcPr>
            <w:tcW w:type="dxa" w:w="7058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完成目标与证据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W1 03-01～03-07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确认供应商政策/预算；ModelAdapter和PlanSchema；对拒绝/畸形计划先写失败测试。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W2 03-08～03-14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白名单工具/本人权限/短只读snapshot；固定fixture数值与范围测试。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W3 03-15～03-21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事实模板、运行/配额migration、总deadline/有限重试/结算。</w:t>
            </w:r>
          </w:p>
        </w:tc>
      </w:tr>
      <w:tr>
        <w:trPr>
          <w:cantSplit/>
        </w:trPr>
        <w:tc>
          <w:tcPr>
            <w:tcW w:type="dxa" w:w="2353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W4 03-22～03-28</w:t>
            </w:r>
          </w:p>
        </w:tc>
        <w:tc>
          <w:tcPr>
            <w:tcW w:type="dxa" w:w="7058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AI页面与HTTP故障回归；授权真实小样本，记录非mock证据。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二、任务卡</w:t>
      </w:r>
    </w:p>
    <w:tbl>
      <w:tblPr>
        <w:tblW w:type="dxa" w:w="9411"/>
        <w:tblBorders>
          <w:top w:val="single" w:color="E5E7EB" w:sz="4"/>
          <w:left w:val="single" w:color="E5E7EB" w:sz="4"/>
          <w:bottom w:val="single" w:color="E5E7EB" w:sz="4"/>
          <w:right w:val="single" w:color="E5E7EB" w:sz="4"/>
          <w:insideH w:val="single" w:color="E5E7EB" w:sz="4"/>
          <w:insideV w:val="single" w:color="E5E7EB" w:sz="4"/>
        </w:tblBorders>
        <w:tblLayout w:type="fixed"/>
      </w:tblPr>
      <w:tblGrid>
        <w:gridCol w:w="2541"/>
        <w:gridCol w:w="6870"/>
      </w:tblGrid>
      <w:tr>
        <w:trPr>
          <w:cantSplit/>
          <w:tblHeader/>
        </w:trPr>
        <w:tc>
          <w:tcPr>
            <w:tcW w:type="dxa" w:w="2541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任务/估算</w:t>
            </w:r>
          </w:p>
        </w:tc>
        <w:tc>
          <w:tcPr>
            <w:tcW w:type="dxa" w:w="6870"/>
            <w:shd w:fill="EAF0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center"/>
            </w:pPr>
            <w:r>
              <w:rPr>
                <w:b/>
                <w:bCs/>
                <w:color w:val="1E3A5F"/>
                <w:sz w:val="19"/>
                <w:szCs w:val="19"/>
              </w:rPr>
              <w:t xml:space="preserve">步骤与证据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M6-T01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ModelAdapter契约、模型访问/政策与费用配置记录。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M6-T02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Schema/intent校验、限定attempt≤2，非法userId/sql工具测试。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M6-T03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ToolGateway+本人域服务；范围、类别歧义/limit、越权。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M6-T04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同manager只读快照与fact模板；对账/0基数/无数据。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M6-T05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runs/usage migration、原子预留/结算/未知费用。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M6-T06 1.5h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总deadline、abort、503/429与普通账本不受影响。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M6-T07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Web事实卡片/拒绝/失败/提示与生成类型。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M6-T08 2h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DB/HTTP/脱敏回归，少量真实调用并记录费用。</w:t>
            </w:r>
          </w:p>
        </w:tc>
      </w:tr>
      <w:tr>
        <w:trPr>
          <w:cantSplit/>
        </w:trPr>
        <w:tc>
          <w:tcPr>
            <w:tcW w:type="dxa" w:w="2541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M6-T09 1h</w:t>
            </w:r>
          </w:p>
        </w:tc>
        <w:tc>
          <w:tcPr>
            <w:tcW w:type="dxa" w:w="687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TableText"/>
              <w:spacing w:after="0" w:before="0" w:line="288"/>
              <w:ind w:left="0" w:right="0" w:firstLine="0"/>
              <w:jc w:val="left"/>
            </w:pPr>
            <w:r>
              <w:rPr>
                <w:sz w:val="19"/>
                <w:szCs w:val="19"/>
              </w:rPr>
              <w:t xml:space="preserve">阶段验收与M7固定评测fixture草案。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三、学习、成本与停损</w:t>
      </w:r>
    </w:p>
    <w:p>
      <w:pPr>
        <w:widowControl/>
        <w:spacing w:after="160" w:line="348"/>
        <w:jc w:val="both"/>
      </w:pPr>
      <w:r>
        <w:t xml:space="preserve">核心15.5小时+0.5～4.5小时调试/文档余量；若SDK鉴权/价格政策未明确则暂停真实调用，不借公司数据或工具账户绕过。</w:t>
      </w:r>
    </w:p>
    <w:p>
      <w:pPr>
        <w:widowControl/>
        <w:spacing w:after="160" w:line="348"/>
        <w:jc w:val="both"/>
      </w:pPr>
      <w:r>
        <w:t xml:space="preserve">阅读官方模型SDK结构化输出/取消和OWASP提示注入；算法基础DP一题可隔周。能解释“模型在规划、服务端在授权/算数/回答”的分工。</w:t>
      </w:r>
    </w:p>
    <w:p>
      <w:pPr>
        <w:widowControl/>
        <w:spacing w:after="160" w:line="348"/>
        <w:jc w:val="both"/>
      </w:pPr>
      <w:r>
        <w:t xml:space="preserve">若计划选择准确度差，先缩小允许问题和修Schema，不能直接允许任意SQL来提高演示成功率。</w:t>
      </w:r>
    </w:p>
    <w:p>
      <w:pPr>
        <w:widowControl/>
        <w:spacing w:after="160" w:line="348"/>
        <w:jc w:val="both"/>
      </w:pPr>
      <w:r>
        <w:t xml:space="preserve">逐项记录M6-R01～06、离线/在线标签；权限和业务表写入门一旦失败立即停止继续真实评测，先修根因。</w:t>
      </w:r>
    </w:p>
    <w:p>
      <w:pPr>
        <w:pStyle w:val="Heading1"/>
      </w:pPr>
      <w:r>
        <w:t xml:space="preserve">依据与实施状态</w:t>
      </w:r>
    </w:p>
    <w:p>
      <w:pPr>
        <w:widowControl/>
        <w:spacing w:after="160" w:line="348"/>
        <w:jc w:val="both"/>
      </w:pPr>
      <w:r>
        <w:t xml:space="preserve">基线：49410c2（2026-10-09核对）；总计划：plan/2026-10-09-个人账本全栈学习计划.docx。产品依据：docs/PRD-fullstack-ai-ledger.md；技术依据：docs/TECH-PLAN-fullstack-ai-ledger.md。重点章节：PRD §7～§8；技术方案 §7～§9；M4/M5 安全、聚合和交付质量门。</w:t>
      </w:r>
    </w:p>
    <w:p>
      <w:pPr>
        <w:widowControl/>
        <w:spacing w:after="160" w:line="348"/>
        <w:jc w:val="both"/>
      </w:pPr>
      <w:r>
        <w:t xml:space="preserve">通用约束：只有虚构数据；NestJS/React 单体、本机 PostgreSQL、TypeORM、单一 DATABASE_URL；synchronize:false、migrationsRun:false；无 Docker、Redis 或新业务框架。金额分字符串，月份固定上海时区。文档中的目标文件、命令与验收不是已有实现。</w:t>
      </w:r>
    </w:p>
    <w:p>
      <w:pPr>
        <w:widowControl/>
        <w:spacing w:after="160" w:line="348"/>
        <w:jc w:val="both"/>
      </w:pPr>
      <w:r>
        <w:t xml:space="preserve">阶段完成状态与实际命令/证据记录在本目录 README.md。未执行项目保持未验证；历史原型测试不能替代本阶段验收。</w:t>
      </w:r>
    </w:p>
    <w:sectPr>
      <w:footerReference w:type="default" r:id="rId7"/>
      <w:pgSz w:w="11905" w:h="16837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40"/>
      <w:jc w:val="center"/>
    </w:pPr>
    <w:r>
      <w:rPr>
        <w:color w:val="5B6573"/>
        <w:sz w:val="18"/>
        <w:szCs w:val="18"/>
      </w:rPr>
      <w:t xml:space="preserve">M6 · 虚构数据学习项目</w:t>
    </w:r>
    <w:r>
      <w:rPr>
        <w:color w:val="5B6573"/>
        <w:sz w:val="18"/>
        <w:szCs w:val="18"/>
      </w:rPr>
      <w:t xml:space="preserve"> 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3" w:hanging="226"/>
      </w:pPr>
    </w:lvl>
    <w:lvl w:ilvl="1" w15:tentative="1">
      <w:start w:val="1"/>
      <w:numFmt w:val="bullet"/>
      <w:lvlText w:val="◦"/>
      <w:lvlJc w:val="left"/>
      <w:pPr>
        <w:ind w:left="907" w:hanging="226"/>
      </w:pPr>
    </w:lvl>
    <w:lvl w:ilvl="2" w15:tentative="1">
      <w:start w:val="1"/>
      <w:numFmt w:val="bullet"/>
      <w:lvlText w:val="▪"/>
      <w:lvlJc w:val="left"/>
      <w:pPr>
        <w:ind w:left="1360" w:hanging="22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3" w:hanging="226"/>
      </w:pPr>
    </w:lvl>
    <w:lvl w:ilvl="1" w15:tentative="1">
      <w:start w:val="1"/>
      <w:numFmt w:val="lowerLetter"/>
      <w:lvlText w:val="%2."/>
      <w:lvlJc w:val="left"/>
      <w:pPr>
        <w:ind w:left="907" w:hanging="226"/>
      </w:pPr>
    </w:lvl>
    <w:lvl w:ilvl="2" w15:tentative="1">
      <w:start w:val="1"/>
      <w:numFmt w:val="lowerRoman"/>
      <w:lvlText w:val="%3."/>
      <w:lvlJc w:val="left"/>
      <w:pPr>
        <w:ind w:left="1360" w:hanging="22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ingFang SC" w:cs="PingFang SC" w:eastAsia="PingFang SC" w:hAnsi="PingFang SC"/>
        <w:color w:val="202936"/>
        <w:sz w:val="22"/>
        <w:szCs w:val="22"/>
      </w:rPr>
    </w:rPrDefault>
    <w:pPrDefault>
      <w:pPr>
        <w:widowControl/>
        <w:spacing w:after="160" w:line="348"/>
      </w:pPr>
    </w:pPrDefault>
  </w:docDefaults>
  <w:style w:type="paragraph" w:styleId="Title">
    <w:name w:val="Title"/>
    <w:basedOn w:val="Normal"/>
    <w:next w:val="Normal"/>
    <w:qFormat/>
    <w:pPr>
      <w:keepNext/>
      <w:keepLines/>
      <w:spacing w:after="160" w:before="0" w:line="288"/>
    </w:pPr>
    <w:rPr>
      <w:rFonts w:ascii="PingFang SC" w:cs="PingFang SC" w:eastAsia="PingFang SC" w:hAnsi="PingFang SC"/>
      <w:b/>
      <w:bCs/>
      <w:color w:val="1E3A5F"/>
      <w:sz w:val="52"/>
      <w:szCs w:val="52"/>
    </w:rPr>
  </w:style>
  <w:style w:type="paragraph" w:styleId="Heading1">
    <w:name w:val="Heading 1"/>
    <w:basedOn w:val="Normal"/>
    <w:next w:val="Normal"/>
    <w:qFormat/>
    <w:pPr>
      <w:keepNext/>
      <w:keepLines/>
      <w:spacing w:after="120" w:before="300" w:line="288"/>
      <w:outlineLvl w:val="0"/>
    </w:pPr>
    <w:rPr>
      <w:rFonts w:ascii="PingFang SC" w:cs="PingFang SC" w:eastAsia="PingFang SC" w:hAnsi="PingFang SC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20" w:before="220" w:line="288"/>
      <w:outlineLvl w:val="1"/>
    </w:pPr>
    <w:rPr>
      <w:rFonts w:ascii="PingFang SC" w:cs="PingFang SC" w:eastAsia="PingFang SC" w:hAnsi="PingFang SC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20" w:line="288"/>
      <w:outlineLvl w:val="2"/>
    </w:pPr>
    <w:rPr>
      <w:rFonts w:ascii="PingFang SC" w:cs="PingFang SC" w:eastAsia="PingFang SC" w:hAnsi="PingFang SC"/>
      <w:b/>
      <w:bCs/>
      <w:color w:val="1E3A5F"/>
      <w:sz w:val="23"/>
      <w:szCs w:val="23"/>
    </w:rPr>
  </w:style>
  <w:style w:type="paragraph" w:styleId="Heading4">
    <w:name w:val="Heading 4"/>
    <w:basedOn w:val="Normal"/>
    <w:next w:val="Normal"/>
    <w:qFormat/>
    <w:pPr>
      <w:keepNext/>
      <w:keepLines/>
      <w:spacing w:after="120" w:before="220" w:line="288"/>
      <w:outlineLvl w:val="3"/>
    </w:pPr>
    <w:rPr>
      <w:rFonts w:ascii="PingFang SC" w:cs="PingFang SC" w:eastAsia="PingFang SC" w:hAnsi="PingFang SC"/>
      <w:b/>
      <w:bCs/>
      <w:color w:val="1E3A5F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next w:val="Normal"/>
    <w:qFormat/>
    <w:pPr>
      <w:widowControl/>
      <w:spacing w:after="160" w:line="348"/>
    </w:pPr>
    <w:rPr>
      <w:rFonts w:ascii="PingFang SC" w:cs="PingFang SC" w:eastAsia="PingFang SC" w:hAnsi="PingFang SC"/>
      <w:color w:val="202936"/>
      <w:sz w:val="22"/>
      <w:szCs w:val="22"/>
    </w:rPr>
  </w:style>
  <w:style w:type="paragraph" w:styleId="TableText">
    <w:name w:val="Table Text"/>
    <w:pPr>
      <w:spacing w:after="0" w:before="0" w:line="240"/>
      <w:ind w:left="0" w:right="0" w:firstLine="0"/>
    </w:pPr>
    <w:rPr>
      <w:rFonts w:ascii="PingFang SC" w:cs="PingFang SC" w:eastAsia="PingFang SC" w:hAnsi="PingFang SC"/>
      <w:sz w:val="20"/>
      <w:szCs w:val="20"/>
    </w:rPr>
  </w:style>
  <w:style w:type="paragraph" w:styleId="Subtitle">
    <w:name w:val="Subtitle"/>
    <w:pPr>
      <w:keepNext/>
      <w:keepLines/>
      <w:spacing w:after="280" w:before="0"/>
    </w:pPr>
    <w:rPr>
      <w:color w:val="5B6573"/>
      <w:sz w:val="22"/>
      <w:szCs w:val="22"/>
    </w:rPr>
  </w:style>
  <w:style w:type="paragraph" w:styleId="Caption">
    <w:name w:val="Caption"/>
    <w:pPr>
      <w:keepLines/>
      <w:spacing w:after="160" w:before="0" w:line="264"/>
    </w:pPr>
    <w:rPr>
      <w:color w:val="5B657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M6｜受限只读 AI 核心｜学习与执行计划</dc:title>
  <dc:creator>程小帮</dc:creator>
  <cp:lastModifiedBy>Un-named</cp:lastModifiedBy>
  <cp:revision>1</cp:revision>
  <dcterms:created xsi:type="dcterms:W3CDTF">2026-10-09T08:03:38.606Z</dcterms:created>
  <dcterms:modified xsi:type="dcterms:W3CDTF">2026-10-09T08:03:38.606Z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