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M4｜P0 质量门、事务与并发可靠性｜学习与执行计划</w:t>
      </w:r>
    </w:p>
    <w:p>
      <w:pPr>
        <w:pStyle w:val="Subtitle"/>
        <w:jc w:val="left"/>
      </w:pPr>
      <w:r>
        <w:t xml:space="preserve">2027-01-04 ～ 2027-01-31｜阶段实施设计 v1.0｜2026-10-09</w:t>
      </w:r>
    </w:p>
    <w:p>
      <w:pPr>
        <w:widowControl/>
        <w:spacing w:after="160" w:line="348"/>
        <w:jc w:val="both"/>
      </w:pPr>
      <w:r>
        <w:t xml:space="preserve">当前状态：计划／未开始。内容定义后续实施目标，不表示业务已实现、测试已通过或环境已部署。</w:t>
      </w:r>
    </w:p>
    <w:p>
      <w:pPr>
        <w:widowControl/>
        <w:spacing w:after="160" w:line="348"/>
        <w:jc w:val="both"/>
      </w:pPr>
      <w:r>
        <w:t xml:space="preserve">文档用途：按四周目标窗口拆解任务、学习重点、建议工时、证据与顺延规则。</w:t>
      </w:r>
    </w:p>
    <w:p>
      <w:pPr>
        <w:widowControl/>
        <w:spacing w:after="160" w:line="348"/>
        <w:jc w:val="both"/>
      </w:pPr>
      <w:r>
        <w:t xml:space="preserve">前置门：M1～M3核心功能已实现并留有失败/通过证据；所有尚未通过的P0项明确列出，不把接口可通当作可靠性完成。</w:t>
      </w:r>
    </w:p>
    <w:p>
      <w:pPr>
        <w:widowControl/>
        <w:spacing w:after="160" w:line="348"/>
        <w:jc w:val="both"/>
      </w:pPr>
      <w:r>
        <w:t xml:space="preserve">阶段产出：P0需求追踪矩阵、并发/故障测试、查询计划与性能记录、可演示的完整账本。原则上不新增业务接口或功能。</w:t>
      </w:r>
    </w:p>
    <w:p>
      <w:pPr>
        <w:pStyle w:val="Heading1"/>
      </w:pPr>
      <w:r>
        <w:t xml:space="preserve">执行容量与日期口径</w:t>
      </w:r>
    </w:p>
    <w:p>
      <w:pPr>
        <w:widowControl/>
        <w:spacing w:after="160" w:line="348"/>
        <w:jc w:val="both"/>
      </w:pPr>
      <w:r>
        <w:t xml:space="preserve">每周4小时模式：3小时深度任务＋0.5小时阅读＋0.5小时算法/复盘；5小时模式：4小时深度任务＋1小时轻量学习。任务卡约15～16小时属于核心工作估算，另保留四周共4小时轻量学习后，总量约19～20小时。四周5小时模式才基本容纳全部内容且缓冲很少；4小时模式通常需至少5～6周。环境阻塞/缺陷超过余量即顺延，不增加通勤硬编码或熬夜补课。</w:t>
      </w:r>
    </w:p>
    <w:p>
      <w:pPr>
        <w:widowControl/>
        <w:spacing w:after="160" w:line="348"/>
        <w:jc w:val="both"/>
      </w:pPr>
      <w:r>
        <w:t xml:space="preserve">日期为七个四周学习月的目标窗口；依赖阶段未验收则顺延。绿周≥5小时、黄周3～4小时、红周≤2小时只维护与复盘；睡眠、权限、事务和测试不用于“赶日期”。</w:t>
      </w:r>
    </w:p>
    <w:p>
      <w:pPr>
        <w:pStyle w:val="Heading1"/>
      </w:pPr>
      <w:r>
        <w:t xml:space="preserve">一、四周执行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2353"/>
        <w:gridCol w:w="7058"/>
      </w:tblGrid>
      <w:tr>
        <w:trPr>
          <w:cantSplit/>
          <w:tblHeader/>
        </w:trPr>
        <w:tc>
          <w:tcPr>
            <w:tcW w:type="dxa" w:w="2353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周</w:t>
            </w:r>
          </w:p>
        </w:tc>
        <w:tc>
          <w:tcPr>
            <w:tcW w:type="dxa" w:w="7058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工作内容/完成证据</w:t>
            </w:r>
          </w:p>
        </w:tc>
      </w:tr>
      <w:tr>
        <w:trPr>
          <w:cantSplit/>
        </w:trPr>
        <w:tc>
          <w:tcPr>
            <w:tcW w:type="dxa" w:w="23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W1 01-04～01-10</w:t>
            </w:r>
          </w:p>
        </w:tc>
        <w:tc>
          <w:tcPr>
            <w:tcW w:type="dxa" w:w="70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列P0需求追踪与遗漏；补A/B、时间/金额、E2E；证据为每条test映射。</w:t>
            </w:r>
          </w:p>
        </w:tc>
      </w:tr>
      <w:tr>
        <w:trPr>
          <w:cantSplit/>
        </w:trPr>
        <w:tc>
          <w:tcPr>
            <w:tcW w:type="dxa" w:w="23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W2 01-11～01-17</w:t>
            </w:r>
          </w:p>
        </w:tc>
        <w:tc>
          <w:tcPr>
            <w:tcW w:type="dxa" w:w="70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20并发、分类barrier、创建编辑软删重放；记录DB数量/响应和超时。</w:t>
            </w:r>
          </w:p>
        </w:tc>
      </w:tr>
      <w:tr>
        <w:trPr>
          <w:cantSplit/>
        </w:trPr>
        <w:tc>
          <w:tcPr>
            <w:tcW w:type="dxa" w:w="23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W3 01-18～01-24</w:t>
            </w:r>
          </w:p>
        </w:tc>
        <w:tc>
          <w:tcPr>
            <w:tcW w:type="dxa" w:w="70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回滚/提交后断连、manager Scope/连接释放；输出故障回归结果。</w:t>
            </w:r>
          </w:p>
        </w:tc>
      </w:tr>
      <w:tr>
        <w:trPr>
          <w:cantSplit/>
        </w:trPr>
        <w:tc>
          <w:tcPr>
            <w:tcW w:type="dxa" w:w="23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W4 01-25～01-31</w:t>
            </w:r>
          </w:p>
        </w:tc>
        <w:tc>
          <w:tcPr>
            <w:tcW w:type="dxa" w:w="70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10000条fixture、查询计划/本机测量、全回归及桌面/手机演示。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二、任务卡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2541"/>
        <w:gridCol w:w="6870"/>
      </w:tblGrid>
      <w:tr>
        <w:trPr>
          <w:cantSplit/>
          <w:tblHeader/>
        </w:trPr>
        <w:tc>
          <w:tcPr>
            <w:tcW w:type="dxa" w:w="2541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卡片/估算</w:t>
            </w:r>
          </w:p>
        </w:tc>
        <w:tc>
          <w:tcPr>
            <w:tcW w:type="dxa" w:w="687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步骤与证据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M4-T01 1h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对照M1～3所有编号建立未通过列表，不重复开发已有功能。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M4-T02 2h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补越权、Cookie/CSRF与金额/时间/软删边界。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M4-T03 2h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HTTP20并发与真DB唯一/等价响应。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M4-T04 2h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分类barrier竞态两个方向/混合体/重放。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M4-T05 2h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SQL故障/提交后断连与连接释放，回归修复。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M4-T06 1.5h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可复现大fixture和独立SQL oracle。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M4-T07 2h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EXPLAIN ANALYZE与本机测量；记录样本/错误率。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M4-T08 2h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360px/键盘/E2E全流程与契约检查。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M4-T09 1h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全套运行、缺陷关闭与P0门记录。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三、学习与出门</w:t>
      </w:r>
    </w:p>
    <w:p>
      <w:pPr>
        <w:widowControl/>
        <w:spacing w:after="160" w:line="348"/>
        <w:jc w:val="both"/>
      </w:pPr>
      <w:r>
        <w:t xml:space="preserve">任务核心15.5小时；额外最多4.5小时用于复杂并发夹具/学习缓冲。若真实阻塞超预算，顺延阶段而非减并发断言或换SQLite。</w:t>
      </w:r>
    </w:p>
    <w:p>
      <w:pPr>
        <w:widowControl/>
        <w:spacing w:after="160" w:line="348"/>
        <w:jc w:val="both"/>
      </w:pPr>
      <w:r>
        <w:t xml:space="preserve">重点阅读READ COMMITTED、FOR UPDATE、唯一冲突、deadlock与TypeORM事务manager。算法树/图DFS或BFS一题，不强行关联账本。</w:t>
      </w:r>
    </w:p>
    <w:p>
      <w:pPr>
        <w:widowControl/>
        <w:spacing w:after="160" w:line="348"/>
        <w:jc w:val="both"/>
      </w:pPr>
      <w:r>
        <w:t xml:space="preserve">自测：锁冲突/死锁/事务aborted的区别；为什么相同请求键不能TTL到期再记账；query plan为什么不等于接口p95。</w:t>
      </w:r>
    </w:p>
    <w:p>
      <w:pPr>
        <w:widowControl/>
        <w:spacing w:after="160" w:line="348"/>
        <w:jc w:val="both"/>
      </w:pPr>
      <w:r>
        <w:t xml:space="preserve">本阶段完成记录包括M4-R01～06、版本、结果和剩余非阻塞项；如果安全/金额/幂等仍有失败，不创建AI迭代。</w:t>
      </w:r>
    </w:p>
    <w:p>
      <w:pPr>
        <w:pStyle w:val="Heading1"/>
      </w:pPr>
      <w:r>
        <w:t xml:space="preserve">依据与实施状态</w:t>
      </w:r>
    </w:p>
    <w:p>
      <w:pPr>
        <w:widowControl/>
        <w:spacing w:after="160" w:line="348"/>
        <w:jc w:val="both"/>
      </w:pPr>
      <w:r>
        <w:t xml:space="preserve">基线：49410c2（2026-10-09核对）；总计划：plan/2026-10-09-个人账本全栈学习计划.docx。产品依据：docs/PRD-fullstack-ai-ledger.md；技术依据：docs/TECH-PLAN-fullstack-ai-ledger.md。重点章节：PRD §8～§11；技术方案 §6、§8～§9；M1～M3 需求编号与测试证据。</w:t>
      </w:r>
    </w:p>
    <w:p>
      <w:pPr>
        <w:widowControl/>
        <w:spacing w:after="160" w:line="348"/>
        <w:jc w:val="both"/>
      </w:pPr>
      <w:r>
        <w:t xml:space="preserve">通用约束：只有虚构数据；NestJS/React 单体、本机 PostgreSQL、TypeORM、单一 DATABASE_URL；synchronize:false、migrationsRun:false；无 Docker、Redis 或新业务框架。金额分字符串，月份固定上海时区。文档中的目标文件、命令与验收不是已有实现。</w:t>
      </w:r>
    </w:p>
    <w:p>
      <w:pPr>
        <w:widowControl/>
        <w:spacing w:after="160" w:line="348"/>
        <w:jc w:val="both"/>
      </w:pPr>
      <w:r>
        <w:t xml:space="preserve">阶段完成状态与实际命令/证据记录在本目录 README.md。未执行项目保持未验证；历史原型测试不能替代本阶段验收。</w:t>
      </w:r>
    </w:p>
    <w:sectPr>
      <w:footerReference w:type="default" r:id="rId7"/>
      <w:pgSz w:w="11905" w:h="16837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color w:val="5B6573"/>
        <w:sz w:val="18"/>
        <w:szCs w:val="18"/>
      </w:rPr>
      <w:t xml:space="preserve">M4 · 虚构数据学习项目</w:t>
    </w:r>
    <w:r>
      <w:rPr>
        <w:color w:val="5B6573"/>
        <w:sz w:val="18"/>
        <w:szCs w:val="18"/>
      </w:rPr>
      <w:t xml:space="preserve">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3" w:hanging="226"/>
      </w:pPr>
    </w:lvl>
    <w:lvl w:ilvl="1" w15:tentative="1">
      <w:start w:val="1"/>
      <w:numFmt w:val="bullet"/>
      <w:lvlText w:val="◦"/>
      <w:lvlJc w:val="left"/>
      <w:pPr>
        <w:ind w:left="907" w:hanging="226"/>
      </w:pPr>
    </w:lvl>
    <w:lvl w:ilvl="2" w15:tentative="1">
      <w:start w:val="1"/>
      <w:numFmt w:val="bullet"/>
      <w:lvlText w:val="▪"/>
      <w:lvlJc w:val="left"/>
      <w:pPr>
        <w:ind w:left="1360" w:hanging="22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3" w:hanging="226"/>
      </w:pPr>
    </w:lvl>
    <w:lvl w:ilvl="1" w15:tentative="1">
      <w:start w:val="1"/>
      <w:numFmt w:val="lowerLetter"/>
      <w:lvlText w:val="%2."/>
      <w:lvlJc w:val="left"/>
      <w:pPr>
        <w:ind w:left="907" w:hanging="226"/>
      </w:pPr>
    </w:lvl>
    <w:lvl w:ilvl="2" w15:tentative="1">
      <w:start w:val="1"/>
      <w:numFmt w:val="lowerRoman"/>
      <w:lvlText w:val="%3."/>
      <w:lvlJc w:val="left"/>
      <w:pPr>
        <w:ind w:left="136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202936"/>
        <w:sz w:val="22"/>
        <w:szCs w:val="22"/>
      </w:rPr>
    </w:rPrDefault>
    <w:pPrDefault>
      <w:pPr>
        <w:widowControl/>
        <w:spacing w:after="160" w:line="348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160" w:before="0" w:line="288"/>
    </w:pPr>
    <w:rPr>
      <w:rFonts w:ascii="PingFang SC" w:cs="PingFang SC" w:eastAsia="PingFang SC" w:hAnsi="PingFang SC"/>
      <w:b/>
      <w:bCs/>
      <w:color w:val="1E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00" w:line="288"/>
      <w:outlineLvl w:val="0"/>
    </w:pPr>
    <w:rPr>
      <w:rFonts w:ascii="PingFang SC" w:cs="PingFang SC" w:eastAsia="PingFang SC" w:hAnsi="PingFang SC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20" w:line="288"/>
      <w:outlineLvl w:val="1"/>
    </w:pPr>
    <w:rPr>
      <w:rFonts w:ascii="PingFang SC" w:cs="PingFang SC" w:eastAsia="PingFang SC" w:hAnsi="PingFang SC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20" w:line="288"/>
      <w:outlineLvl w:val="2"/>
    </w:pPr>
    <w:rPr>
      <w:rFonts w:ascii="PingFang SC" w:cs="PingFang SC" w:eastAsia="PingFang SC" w:hAnsi="PingFang SC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after="120" w:before="220" w:line="288"/>
      <w:outlineLvl w:val="3"/>
    </w:pPr>
    <w:rPr>
      <w:rFonts w:ascii="PingFang SC" w:cs="PingFang SC" w:eastAsia="PingFang SC" w:hAnsi="PingFang SC"/>
      <w:b/>
      <w:bCs/>
      <w:color w:val="1E3A5F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next w:val="Normal"/>
    <w:qFormat/>
    <w:pPr>
      <w:widowControl/>
      <w:spacing w:after="160" w:line="348"/>
    </w:pPr>
    <w:rPr>
      <w:rFonts w:ascii="PingFang SC" w:cs="PingFang SC" w:eastAsia="PingFang SC" w:hAnsi="PingFang SC"/>
      <w:color w:val="202936"/>
      <w:sz w:val="22"/>
      <w:szCs w:val="22"/>
    </w:rPr>
  </w:style>
  <w:style w:type="paragraph" w:styleId="TableText">
    <w:name w:val="Table Text"/>
    <w:pPr>
      <w:spacing w:after="0" w:before="0" w:line="240"/>
      <w:ind w:left="0" w:right="0" w:firstLine="0"/>
    </w:pPr>
    <w:rPr>
      <w:rFonts w:ascii="PingFang SC" w:cs="PingFang SC" w:eastAsia="PingFang SC" w:hAnsi="PingFang SC"/>
      <w:sz w:val="20"/>
      <w:szCs w:val="20"/>
    </w:rPr>
  </w:style>
  <w:style w:type="paragraph" w:styleId="Subtitle">
    <w:name w:val="Subtitle"/>
    <w:pPr>
      <w:keepNext/>
      <w:keepLines/>
      <w:spacing w:after="280" w:before="0"/>
    </w:pPr>
    <w:rPr>
      <w:color w:val="5B6573"/>
      <w:sz w:val="22"/>
      <w:szCs w:val="22"/>
    </w:rPr>
  </w:style>
  <w:style w:type="paragraph" w:styleId="Caption">
    <w:name w:val="Caption"/>
    <w:pPr>
      <w:keepLines/>
      <w:spacing w:after="160" w:before="0" w:line="264"/>
    </w:pPr>
    <w:rPr>
      <w:color w:val="5B657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M4｜P0 质量门、事务与并发可靠性｜学习与执行计划</dc:title>
  <dc:creator>程小帮</dc:creator>
  <cp:lastModifiedBy>Un-named</cp:lastModifiedBy>
  <cp:revision>1</cp:revision>
  <dcterms:created xsi:type="dcterms:W3CDTF">2026-10-09T08:03:38.579Z</dcterms:created>
  <dcterms:modified xsi:type="dcterms:W3CDTF">2026-10-09T08:03:38.579Z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