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M7｜真实 AI 评测、文档与最终交付｜学习与执行计划</w:t>
      </w:r>
    </w:p>
    <w:p>
      <w:pPr>
        <w:pStyle w:val="Subtitle"/>
        <w:jc w:val="left"/>
      </w:pPr>
      <w:r>
        <w:t xml:space="preserve">2027-03-29 ～ 2027-04-25｜阶段实施设计 v1.0｜2026-10-09</w:t>
      </w:r>
    </w:p>
    <w:p>
      <w:pPr>
        <w:widowControl/>
        <w:spacing w:after="160" w:line="348"/>
        <w:jc w:val="both"/>
      </w:pPr>
      <w:r>
        <w:t xml:space="preserve">当前状态：计划／未开始。内容定义后续实施目标，不表示业务已实现、测试已通过或环境已部署。</w:t>
      </w:r>
    </w:p>
    <w:p>
      <w:pPr>
        <w:widowControl/>
        <w:spacing w:after="160" w:line="348"/>
        <w:jc w:val="both"/>
      </w:pPr>
      <w:r>
        <w:t xml:space="preserve">文档用途：按四周目标窗口拆解任务、学习重点、建议工时、证据与顺延规则。</w:t>
      </w:r>
    </w:p>
    <w:p>
      <w:pPr>
        <w:widowControl/>
        <w:spacing w:after="160" w:line="348"/>
        <w:jc w:val="both"/>
      </w:pPr>
      <w:r>
        <w:t xml:space="preserve">前置门：M6本人与只读边界、安全/故障离线回归通过；至少一条真实模型闭环成立。固定虚构fixture、评测预算、供应商访问与价格口径可核对。</w:t>
      </w:r>
    </w:p>
    <w:p>
      <w:pPr>
        <w:widowControl/>
        <w:spacing w:after="160" w:line="348"/>
        <w:jc w:val="both"/>
      </w:pPr>
      <w:r>
        <w:t xml:space="preserve">阶段产出：版本化30条真实评测、独立数值oracle、安全/性能/费用记录、完整启动/恢复说明与第三人复现；不新增业务API，不启动iOS或新AI框架。</w:t>
      </w:r>
    </w:p>
    <w:p>
      <w:pPr>
        <w:pStyle w:val="Heading1"/>
      </w:pPr>
      <w:r>
        <w:t xml:space="preserve">执行容量与日期口径</w:t>
      </w:r>
    </w:p>
    <w:p>
      <w:pPr>
        <w:widowControl/>
        <w:spacing w:after="160" w:line="348"/>
        <w:jc w:val="both"/>
      </w:pPr>
      <w:r>
        <w:t xml:space="preserve">每周4小时模式：3小时深度任务＋0.5小时阅读＋0.5小时算法/复盘；5小时模式：4小时深度任务＋1小时轻量学习。任务卡约15～16小时属于核心工作估算，另保留四周共4小时轻量学习后，总量约19～20小时。四周5小时模式才基本容纳全部内容且缓冲很少；4小时模式通常需至少5～6周。环境阻塞/缺陷超过余量即顺延，不增加通勤硬编码或熬夜补课。</w:t>
      </w:r>
    </w:p>
    <w:p>
      <w:pPr>
        <w:widowControl/>
        <w:spacing w:after="160" w:line="348"/>
        <w:jc w:val="both"/>
      </w:pPr>
      <w:r>
        <w:t xml:space="preserve">日期为七个四周学习月的目标窗口；依赖阶段未验收则顺延。绿周≥5小时、黄周3～4小时、红周≤2小时只维护与复盘；睡眠、权限、事务和测试不用于“赶日期”。</w:t>
      </w:r>
    </w:p>
    <w:p>
      <w:pPr>
        <w:pStyle w:val="Heading1"/>
      </w:pPr>
      <w:r>
        <w:t xml:space="preserve">一、四周计划</w:t>
      </w:r>
    </w:p>
    <w:tbl>
      <w:tblPr>
        <w:tblW w:type="dxa" w:w="9411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  <w:tblLayout w:type="fixed"/>
      </w:tblPr>
      <w:tblGrid>
        <w:gridCol w:w="2353"/>
        <w:gridCol w:w="7058"/>
      </w:tblGrid>
      <w:tr>
        <w:trPr>
          <w:cantSplit/>
          <w:tblHeader/>
        </w:trPr>
        <w:tc>
          <w:tcPr>
            <w:tcW w:type="dxa" w:w="2353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center"/>
            </w:pPr>
            <w:r>
              <w:rPr>
                <w:b/>
                <w:bCs/>
                <w:color w:val="1E3A5F"/>
                <w:sz w:val="19"/>
                <w:szCs w:val="19"/>
              </w:rPr>
              <w:t xml:space="preserve">周</w:t>
            </w:r>
          </w:p>
        </w:tc>
        <w:tc>
          <w:tcPr>
            <w:tcW w:type="dxa" w:w="7058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center"/>
            </w:pPr>
            <w:r>
              <w:rPr>
                <w:b/>
                <w:bCs/>
                <w:color w:val="1E3A5F"/>
                <w:sz w:val="19"/>
                <w:szCs w:val="19"/>
              </w:rPr>
              <w:t xml:space="preserve">行动与证据</w:t>
            </w:r>
          </w:p>
        </w:tc>
      </w:tr>
      <w:tr>
        <w:trPr>
          <w:cantSplit/>
        </w:trPr>
        <w:tc>
          <w:tcPr>
            <w:tcW w:type="dxa" w:w="23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W1 03-29～04-04</w:t>
            </w:r>
          </w:p>
        </w:tc>
        <w:tc>
          <w:tcPr>
            <w:tcW w:type="dxa" w:w="705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冻结fixture/asOf和30题；独立oracle、runner/report与安全补集；先离线确认口径正确。</w:t>
            </w:r>
          </w:p>
        </w:tc>
      </w:tr>
      <w:tr>
        <w:trPr>
          <w:cantSplit/>
        </w:trPr>
        <w:tc>
          <w:tcPr>
            <w:tcW w:type="dxa" w:w="23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W2 04-05～04-11</w:t>
            </w:r>
          </w:p>
        </w:tc>
        <w:tc>
          <w:tcPr>
            <w:tcW w:type="dxa" w:w="705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受控预算下跑真实30题；保留失败、归因高优缺陷并写回归。权限门失败立即停评测。</w:t>
            </w:r>
          </w:p>
        </w:tc>
      </w:tr>
      <w:tr>
        <w:trPr>
          <w:cantSplit/>
        </w:trPr>
        <w:tc>
          <w:tcPr>
            <w:tcW w:type="dxa" w:w="23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W3 04-12～04-18</w:t>
            </w:r>
          </w:p>
        </w:tc>
        <w:tc>
          <w:tcPr>
            <w:tcW w:type="dxa" w:w="705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受影响案例重跑并保留版本；完整普通业务/故障回归，整理成本/延迟/未完成项和运行文档。</w:t>
            </w:r>
          </w:p>
        </w:tc>
      </w:tr>
      <w:tr>
        <w:trPr>
          <w:cantSplit/>
        </w:trPr>
        <w:tc>
          <w:tcPr>
            <w:tcW w:type="dxa" w:w="23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W4 04-19～04-25</w:t>
            </w:r>
          </w:p>
        </w:tc>
        <w:tc>
          <w:tcPr>
            <w:tcW w:type="dxa" w:w="705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第三人从零复现、最终演示和阶段门；仅修阻塞，不加框架或新功能。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二、任务卡与核心工时</w:t>
      </w:r>
    </w:p>
    <w:tbl>
      <w:tblPr>
        <w:tblW w:type="dxa" w:w="9411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  <w:tblLayout w:type="fixed"/>
      </w:tblPr>
      <w:tblGrid>
        <w:gridCol w:w="2541"/>
        <w:gridCol w:w="6870"/>
      </w:tblGrid>
      <w:tr>
        <w:trPr>
          <w:cantSplit/>
          <w:tblHeader/>
        </w:trPr>
        <w:tc>
          <w:tcPr>
            <w:tcW w:type="dxa" w:w="2541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center"/>
            </w:pPr>
            <w:r>
              <w:rPr>
                <w:b/>
                <w:bCs/>
                <w:color w:val="1E3A5F"/>
                <w:sz w:val="19"/>
                <w:szCs w:val="19"/>
              </w:rPr>
              <w:t xml:space="preserve">卡片/估算</w:t>
            </w:r>
          </w:p>
        </w:tc>
        <w:tc>
          <w:tcPr>
            <w:tcW w:type="dxa" w:w="6870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center"/>
            </w:pPr>
            <w:r>
              <w:rPr>
                <w:b/>
                <w:bCs/>
                <w:color w:val="1E3A5F"/>
                <w:sz w:val="19"/>
                <w:szCs w:val="19"/>
              </w:rPr>
              <w:t xml:space="preserve">完成证据</w:t>
            </w:r>
          </w:p>
        </w:tc>
      </w:tr>
      <w:tr>
        <w:trPr>
          <w:cantSplit/>
        </w:trPr>
        <w:tc>
          <w:tcPr>
            <w:tcW w:type="dxa" w:w="254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M7-T01 1.5h</w:t>
            </w:r>
          </w:p>
        </w:tc>
        <w:tc>
          <w:tcPr>
            <w:tcW w:type="dxa" w:w="687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固定dataset/fixture/asOf、版本hash和期望；物理10条/有效A8条对账。</w:t>
            </w:r>
          </w:p>
        </w:tc>
      </w:tr>
      <w:tr>
        <w:trPr>
          <w:cantSplit/>
        </w:trPr>
        <w:tc>
          <w:tcPr>
            <w:tcW w:type="dxa" w:w="254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M7-T02 2h</w:t>
            </w:r>
          </w:p>
        </w:tc>
        <w:tc>
          <w:tcPr>
            <w:tcW w:type="dxa" w:w="687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独立SQL oracle与评分runner；故意错误值能让评分失败。</w:t>
            </w:r>
          </w:p>
        </w:tc>
      </w:tr>
      <w:tr>
        <w:trPr>
          <w:cantSplit/>
        </w:trPr>
        <w:tc>
          <w:tcPr>
            <w:tcW w:type="dxa" w:w="254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M7-T03 1h</w:t>
            </w:r>
          </w:p>
        </w:tc>
        <w:tc>
          <w:tcPr>
            <w:tcW w:type="dxa" w:w="687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在线配置、预算、价格/模型版本核对，明确允许的真实调用量。</w:t>
            </w:r>
          </w:p>
        </w:tc>
      </w:tr>
      <w:tr>
        <w:trPr>
          <w:cantSplit/>
        </w:trPr>
        <w:tc>
          <w:tcPr>
            <w:tcW w:type="dxa" w:w="254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M7-T04 2h</w:t>
            </w:r>
          </w:p>
        </w:tc>
        <w:tc>
          <w:tcPr>
            <w:tcW w:type="dxa" w:w="687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真实30题、失败分类/耗时/费用记录；不替换失败题。</w:t>
            </w:r>
          </w:p>
        </w:tc>
      </w:tr>
      <w:tr>
        <w:trPr>
          <w:cantSplit/>
        </w:trPr>
        <w:tc>
          <w:tcPr>
            <w:tcW w:type="dxa" w:w="254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M7-T05 2h</w:t>
            </w:r>
          </w:p>
        </w:tc>
        <w:tc>
          <w:tcPr>
            <w:tcW w:type="dxa" w:w="687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最高优缺陷的回归测试与修复；超卡拆分，后续日期顺延。</w:t>
            </w:r>
          </w:p>
        </w:tc>
      </w:tr>
      <w:tr>
        <w:trPr>
          <w:cantSplit/>
        </w:trPr>
        <w:tc>
          <w:tcPr>
            <w:tcW w:type="dxa" w:w="254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M7-T06 1.5h</w:t>
            </w:r>
          </w:p>
        </w:tc>
        <w:tc>
          <w:tcPr>
            <w:tcW w:type="dxa" w:w="687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安全/故障补集、普通业务完整回归，生成契约新鲜度。</w:t>
            </w:r>
          </w:p>
        </w:tc>
      </w:tr>
      <w:tr>
        <w:trPr>
          <w:cantSplit/>
        </w:trPr>
        <w:tc>
          <w:tcPr>
            <w:tcW w:type="dxa" w:w="254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M7-T07 2h</w:t>
            </w:r>
          </w:p>
        </w:tc>
        <w:tc>
          <w:tcPr>
            <w:tcW w:type="dxa" w:w="687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实际启动/部署/备份/架构与AI限制说明；无秘密。</w:t>
            </w:r>
          </w:p>
        </w:tc>
      </w:tr>
      <w:tr>
        <w:trPr>
          <w:cantSplit/>
        </w:trPr>
        <w:tc>
          <w:tcPr>
            <w:tcW w:type="dxa" w:w="254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M7-T08 2h</w:t>
            </w:r>
          </w:p>
        </w:tc>
        <w:tc>
          <w:tcPr>
            <w:tcW w:type="dxa" w:w="687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第三人启动与演示，记录复现阻塞和修复证据。</w:t>
            </w:r>
          </w:p>
        </w:tc>
      </w:tr>
      <w:tr>
        <w:trPr>
          <w:cantSplit/>
        </w:trPr>
        <w:tc>
          <w:tcPr>
            <w:tcW w:type="dxa" w:w="254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M7-T09 1h</w:t>
            </w:r>
          </w:p>
        </w:tc>
        <w:tc>
          <w:tcPr>
            <w:tcW w:type="dxa" w:w="687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M7-R01～06最终验收、性能/费用摘要、P2触发条件。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三、容量与结束条件</w:t>
      </w:r>
    </w:p>
    <w:p>
      <w:pPr>
        <w:widowControl/>
        <w:spacing w:after="160" w:line="348"/>
        <w:jc w:val="both"/>
      </w:pPr>
      <w:r>
        <w:t xml:space="preserve">核心15小时，另留1～5小时用于缺陷/复现/学习缓冲，总量仍4～5小时/周。模型不稳定或第三人复现阻塞可能超过估算，顺延而不是取消安全门。</w:t>
      </w:r>
    </w:p>
    <w:p>
      <w:pPr>
        <w:widowControl/>
        <w:spacing w:after="160" w:line="348"/>
        <w:jc w:val="both"/>
      </w:pPr>
      <w:r>
        <w:t xml:space="preserve">学习重点：评测分母、oracle独立性、可追溯版本、错误归因、成本未知状态；算法只复习前六阶段错题，不引入新的刷题强度。</w:t>
      </w:r>
    </w:p>
    <w:p>
      <w:pPr>
        <w:widowControl/>
        <w:spacing w:after="160" w:line="348"/>
        <w:jc w:val="both"/>
      </w:pPr>
      <w:r>
        <w:t xml:space="preserve">自测：模板数字都正确为何仍可能答错问题；30题为何不是生产质量保证；真实与mock为何分开；为什么还要验证普通月报；如何证明没有读取B数据。</w:t>
      </w:r>
    </w:p>
    <w:p>
      <w:pPr>
        <w:widowControl/>
        <w:spacing w:after="160" w:line="348"/>
        <w:jc w:val="both"/>
      </w:pPr>
      <w:r>
        <w:t xml:space="preserve">完整交付需所有必需门通过；否则按P0完成/AI未验收或部署未验收报告具体范围。CI/运行文档齐全不等于自动发布，Git提交、推送、部署都由用户明确决定。</w:t>
      </w:r>
    </w:p>
    <w:p>
      <w:pPr>
        <w:widowControl/>
        <w:spacing w:after="160" w:line="348"/>
        <w:jc w:val="both"/>
      </w:pPr>
      <w:r>
        <w:t xml:space="preserve">P2只按真实需求开启：批量导入才队列、SQL测得瓶颈才缓存、文档检索才RAG、可信客户端复用才MCP、API稳定后单独设计iOS认证。</w:t>
      </w:r>
    </w:p>
    <w:p>
      <w:pPr>
        <w:pStyle w:val="Heading1"/>
      </w:pPr>
      <w:r>
        <w:t xml:space="preserve">依据与实施状态</w:t>
      </w:r>
    </w:p>
    <w:p>
      <w:pPr>
        <w:widowControl/>
        <w:spacing w:after="160" w:line="348"/>
        <w:jc w:val="both"/>
      </w:pPr>
      <w:r>
        <w:t xml:space="preserve">基线：49410c2（2026-10-09核对）；总计划：plan/2026-10-09-个人账本全栈学习计划.docx。产品依据：docs/PRD-fullstack-ai-ledger.md；技术依据：docs/TECH-PLAN-fullstack-ai-ledger.md。重点章节：PRD §7～§11；技术方案 §7.2、§9、§12；M6 只读工具/事实模板。</w:t>
      </w:r>
    </w:p>
    <w:p>
      <w:pPr>
        <w:widowControl/>
        <w:spacing w:after="160" w:line="348"/>
        <w:jc w:val="both"/>
      </w:pPr>
      <w:r>
        <w:t xml:space="preserve">通用约束：只有虚构数据；NestJS/React 单体、本机 PostgreSQL、TypeORM、单一 DATABASE_URL；synchronize:false、migrationsRun:false；无 Docker、Redis 或新业务框架。金额分字符串，月份固定上海时区。文档中的目标文件、命令与验收不是已有实现。</w:t>
      </w:r>
    </w:p>
    <w:p>
      <w:pPr>
        <w:widowControl/>
        <w:spacing w:after="160" w:line="348"/>
        <w:jc w:val="both"/>
      </w:pPr>
      <w:r>
        <w:t xml:space="preserve">阶段完成状态与实际命令/证据记录在本目录 README.md。未执行项目保持未验证；历史原型测试不能替代本阶段验收。</w:t>
      </w:r>
    </w:p>
    <w:sectPr>
      <w:footerReference w:type="default" r:id="rId7"/>
      <w:pgSz w:w="11905" w:h="16837" w:orient="portrait"/>
      <w:pgMar w:top="1247" w:right="1247" w:bottom="1247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40"/>
      <w:jc w:val="center"/>
    </w:pPr>
    <w:r>
      <w:rPr>
        <w:color w:val="5B6573"/>
        <w:sz w:val="18"/>
        <w:szCs w:val="18"/>
      </w:rPr>
      <w:t xml:space="preserve">M7 · 虚构数据学习项目</w:t>
    </w:r>
    <w:r>
      <w:rPr>
        <w:color w:val="5B6573"/>
        <w:sz w:val="18"/>
        <w:szCs w:val="18"/>
      </w:rPr>
      <w:t xml:space="preserve"> 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3" w:hanging="226"/>
      </w:pPr>
    </w:lvl>
    <w:lvl w:ilvl="1" w15:tentative="1">
      <w:start w:val="1"/>
      <w:numFmt w:val="bullet"/>
      <w:lvlText w:val="◦"/>
      <w:lvlJc w:val="left"/>
      <w:pPr>
        <w:ind w:left="907" w:hanging="226"/>
      </w:pPr>
    </w:lvl>
    <w:lvl w:ilvl="2" w15:tentative="1">
      <w:start w:val="1"/>
      <w:numFmt w:val="bullet"/>
      <w:lvlText w:val="▪"/>
      <w:lvlJc w:val="left"/>
      <w:pPr>
        <w:ind w:left="1360" w:hanging="226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3" w:hanging="226"/>
      </w:pPr>
    </w:lvl>
    <w:lvl w:ilvl="1" w15:tentative="1">
      <w:start w:val="1"/>
      <w:numFmt w:val="lowerLetter"/>
      <w:lvlText w:val="%2."/>
      <w:lvlJc w:val="left"/>
      <w:pPr>
        <w:ind w:left="907" w:hanging="226"/>
      </w:pPr>
    </w:lvl>
    <w:lvl w:ilvl="2" w15:tentative="1">
      <w:start w:val="1"/>
      <w:numFmt w:val="lowerRoman"/>
      <w:lvlText w:val="%3."/>
      <w:lvlJc w:val="left"/>
      <w:pPr>
        <w:ind w:left="1360" w:hanging="226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ingFang SC" w:cs="PingFang SC" w:eastAsia="PingFang SC" w:hAnsi="PingFang SC"/>
        <w:color w:val="202936"/>
        <w:sz w:val="22"/>
        <w:szCs w:val="22"/>
      </w:rPr>
    </w:rPrDefault>
    <w:pPrDefault>
      <w:pPr>
        <w:widowControl/>
        <w:spacing w:after="160" w:line="348"/>
      </w:pPr>
    </w:pPrDefault>
  </w:docDefaults>
  <w:style w:type="paragraph" w:styleId="Title">
    <w:name w:val="Title"/>
    <w:basedOn w:val="Normal"/>
    <w:next w:val="Normal"/>
    <w:qFormat/>
    <w:pPr>
      <w:keepNext/>
      <w:keepLines/>
      <w:spacing w:after="160" w:before="0" w:line="288"/>
    </w:pPr>
    <w:rPr>
      <w:rFonts w:ascii="PingFang SC" w:cs="PingFang SC" w:eastAsia="PingFang SC" w:hAnsi="PingFang SC"/>
      <w:b/>
      <w:bCs/>
      <w:color w:val="1E3A5F"/>
      <w:sz w:val="52"/>
      <w:szCs w:val="52"/>
    </w:rPr>
  </w:style>
  <w:style w:type="paragraph" w:styleId="Heading1">
    <w:name w:val="Heading 1"/>
    <w:basedOn w:val="Normal"/>
    <w:next w:val="Normal"/>
    <w:qFormat/>
    <w:pPr>
      <w:keepNext/>
      <w:keepLines/>
      <w:spacing w:after="120" w:before="300" w:line="288"/>
      <w:outlineLvl w:val="0"/>
    </w:pPr>
    <w:rPr>
      <w:rFonts w:ascii="PingFang SC" w:cs="PingFang SC" w:eastAsia="PingFang SC" w:hAnsi="PingFang SC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20" w:before="220" w:line="288"/>
      <w:outlineLvl w:val="1"/>
    </w:pPr>
    <w:rPr>
      <w:rFonts w:ascii="PingFang SC" w:cs="PingFang SC" w:eastAsia="PingFang SC" w:hAnsi="PingFang SC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spacing w:after="120" w:before="220" w:line="288"/>
      <w:outlineLvl w:val="2"/>
    </w:pPr>
    <w:rPr>
      <w:rFonts w:ascii="PingFang SC" w:cs="PingFang SC" w:eastAsia="PingFang SC" w:hAnsi="PingFang SC"/>
      <w:b/>
      <w:bCs/>
      <w:color w:val="1E3A5F"/>
      <w:sz w:val="23"/>
      <w:szCs w:val="23"/>
    </w:rPr>
  </w:style>
  <w:style w:type="paragraph" w:styleId="Heading4">
    <w:name w:val="Heading 4"/>
    <w:basedOn w:val="Normal"/>
    <w:next w:val="Normal"/>
    <w:qFormat/>
    <w:pPr>
      <w:keepNext/>
      <w:keepLines/>
      <w:spacing w:after="120" w:before="220" w:line="288"/>
      <w:outlineLvl w:val="3"/>
    </w:pPr>
    <w:rPr>
      <w:rFonts w:ascii="PingFang SC" w:cs="PingFang SC" w:eastAsia="PingFang SC" w:hAnsi="PingFang SC"/>
      <w:b/>
      <w:bCs/>
      <w:color w:val="1E3A5F"/>
      <w:sz w:val="22"/>
      <w:szCs w:val="22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next w:val="Normal"/>
    <w:qFormat/>
    <w:pPr>
      <w:widowControl/>
      <w:spacing w:after="160" w:line="348"/>
    </w:pPr>
    <w:rPr>
      <w:rFonts w:ascii="PingFang SC" w:cs="PingFang SC" w:eastAsia="PingFang SC" w:hAnsi="PingFang SC"/>
      <w:color w:val="202936"/>
      <w:sz w:val="22"/>
      <w:szCs w:val="22"/>
    </w:rPr>
  </w:style>
  <w:style w:type="paragraph" w:styleId="TableText">
    <w:name w:val="Table Text"/>
    <w:pPr>
      <w:spacing w:after="0" w:before="0" w:line="240"/>
      <w:ind w:left="0" w:right="0" w:firstLine="0"/>
    </w:pPr>
    <w:rPr>
      <w:rFonts w:ascii="PingFang SC" w:cs="PingFang SC" w:eastAsia="PingFang SC" w:hAnsi="PingFang SC"/>
      <w:sz w:val="20"/>
      <w:szCs w:val="20"/>
    </w:rPr>
  </w:style>
  <w:style w:type="paragraph" w:styleId="Subtitle">
    <w:name w:val="Subtitle"/>
    <w:pPr>
      <w:keepNext/>
      <w:keepLines/>
      <w:spacing w:after="280" w:before="0"/>
    </w:pPr>
    <w:rPr>
      <w:color w:val="5B6573"/>
      <w:sz w:val="22"/>
      <w:szCs w:val="22"/>
    </w:rPr>
  </w:style>
  <w:style w:type="paragraph" w:styleId="Caption">
    <w:name w:val="Caption"/>
    <w:pPr>
      <w:keepLines/>
      <w:spacing w:after="160" w:before="0" w:line="264"/>
    </w:pPr>
    <w:rPr>
      <w:color w:val="5B6573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M7｜真实 AI 评测、文档与最终交付｜学习与执行计划</dc:title>
  <dc:creator>程小帮</dc:creator>
  <cp:lastModifiedBy>Un-named</cp:lastModifiedBy>
  <cp:revision>1</cp:revision>
  <dcterms:created xsi:type="dcterms:W3CDTF">2026-10-09T08:03:38.622Z</dcterms:created>
  <dcterms:modified xsi:type="dcterms:W3CDTF">2026-10-09T08:03:38.622Z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