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M2｜分类、流水创建与列表｜技术方案</w:t>
      </w:r>
    </w:p>
    <w:p>
      <w:pPr>
        <w:pStyle w:val="Subtitle"/>
        <w:jc w:val="left"/>
      </w:pPr>
      <w:r>
        <w:t xml:space="preserve">2026-11-09 ～ 2026-12-06｜阶段实施设计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前置门：M1 的显式 migration、虚构账号、持久化会话、Origin/CSRF、登录/退出/me 与首次业务请求生命周期已通过验收。</w:t>
      </w:r>
    </w:p>
    <w:p>
      <w:pPr>
        <w:widowControl/>
        <w:spacing w:after="160" w:line="348"/>
        <w:jc w:val="both"/>
      </w:pPr>
      <w:r>
        <w:t xml:space="preserve">阶段产出：本人分类管理、创建流水与分页列表、基本 Web 页面、字段错误与跨用户隔离证据。公开创建接口必须满足基础事务幂等，不能先发布会重复记账的版本。</w:t>
      </w:r>
    </w:p>
    <w:p>
      <w:pPr>
        <w:pStyle w:val="Heading1"/>
      </w:pPr>
      <w:r>
        <w:t xml:space="preserve">一、架构与目录</w:t>
      </w:r>
    </w:p>
    <w:p>
      <w:pPr>
        <w:widowControl/>
        <w:spacing w:after="160" w:line="348"/>
        <w:jc w:val="both"/>
      </w:pPr>
      <w:r>
        <w:t xml:space="preserve">新增 src/modules/categories/{category.entity,categories.module,controller,service,repository,schemas}.ts 和 entries/{entry.entity,idempotency-request.entity,entries.module,controller,service,repository,schemas}.ts（路径为目标规划）。</w:t>
      </w:r>
    </w:p>
    <w:p>
      <w:pPr>
        <w:widowControl/>
        <w:spacing w:after="160" w:line="348"/>
        <w:jc w:val="both"/>
      </w:pPr>
      <w:r>
        <w:t xml:space="preserve">Guard注入会话身份；Service负责规则、规范化与事务；Repository封装绑定参数查询并接收事务manager；数据库保护最后一道约束。Controller不写SQL，Web不承担授权。</w:t>
      </w:r>
    </w:p>
    <w:p>
      <w:pPr>
        <w:widowControl/>
        <w:spacing w:after="160" w:line="348"/>
        <w:jc w:val="both"/>
      </w:pPr>
      <w:r>
        <w:t xml:space="preserve">M1共同的ConnectionLifecycle、Auth/Origin/CSRF、requestId/Filter继续复用；不新建第二个DataSource。</w:t>
      </w:r>
    </w:p>
    <w:p>
      <w:pPr>
        <w:pStyle w:val="Heading1"/>
      </w:pPr>
      <w:r>
        <w:t xml:space="preserve">二、Entity与migration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447"/>
        <w:gridCol w:w="6964"/>
      </w:tblGrid>
      <w:tr>
        <w:trPr>
          <w:cantSplit/>
          <w:tblHeader/>
        </w:trPr>
        <w:tc>
          <w:tcPr>
            <w:tcW w:type="dxa" w:w="24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对象</w:t>
            </w:r>
          </w:p>
        </w:tc>
        <w:tc>
          <w:tcPr>
            <w:tcW w:type="dxa" w:w="69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关键约束/索引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categories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UUID PK；user_id FK；direction CHECK；name与archived_at；UNIQUE(user_id,id)；部分唯一索引(user_id,direction,lower(name)) WHERE archived_at IS NULL。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entries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UUID PK；user_id/category_id复合FK；direction CHECK；amount_minor BIGINT CHECK 0&lt;值≤999999999；currency CHECK CNY；occurred_at timestamptz；note≤200；client_request_id UUID；deleted_at；UNIQUE(user_id,client_request_id)。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idempotency_requests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(user_id,key) PK；request_hash；entry_id；首次响应status/location/body JSONB；created_at。流水与首次快照同事务保存，不自动过期/复用键。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列表索引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(user_id,occurred_at DESC,id DESC) WHERE deleted_at IS NULL；避免无性能依据地为所有字段加索引。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三、创建事务与分类竞态</w:t>
      </w:r>
    </w:p>
    <w:p>
      <w:pPr>
        <w:widowControl/>
        <w:spacing w:after="160" w:line="348"/>
        <w:jc w:val="both"/>
      </w:pPr>
      <w:r>
        <w:t xml:space="preserve">先校验/规范化请求，生成固定字段序列的指纹（UTC时间、标准金额、明确note缺省），不hash原始JSON。规则从M2写入公共函数，M3继续强化重放而非换语义。</w:t>
      </w:r>
    </w:p>
    <w:p>
      <w:pPr>
        <w:widowControl/>
        <w:spacing w:after="160" w:line="348"/>
        <w:jc w:val="both"/>
      </w:pPr>
      <w:r>
        <w:t xml:space="preserve">READ COMMITTED事务使用manager：INSERT幂等行 ON CONFLICT DO NOTHING RETURNING。若冲突，SELECT该用户键 FOR UPDATE读取并比较；不同409，相同重放首次201/Location/body。DO NOTHING避免捕获唯一异常后继续使用aborted事务。</w:t>
      </w:r>
    </w:p>
    <w:p>
      <w:pPr>
        <w:widowControl/>
        <w:spacing w:after="160" w:line="348"/>
        <w:jc w:val="both"/>
      </w:pPr>
      <w:r>
        <w:t xml:space="preserve">新键分支锁分类行，检查userId/方向/archived_at；写流水与快照，提交成功才返回。分类归档也锁同一行，按先提交者确定有效性。任何失败回滚两表。</w:t>
      </w:r>
    </w:p>
    <w:p>
      <w:pPr>
        <w:widowControl/>
        <w:spacing w:after="160" w:line="348"/>
        <w:jc w:val="both"/>
      </w:pPr>
      <w:r>
        <w:t xml:space="preserve">事务内从manager.getRepository获取Repository；不调用全局Repository。手工QueryRunner在finally release。避免在事务中做模型调用或等待浏览器。</w:t>
      </w:r>
    </w:p>
    <w:p>
      <w:pPr>
        <w:pStyle w:val="Heading1"/>
      </w:pPr>
      <w:r>
        <w:t xml:space="preserve">四、查询、前端状态与错误</w:t>
      </w:r>
    </w:p>
    <w:p>
      <w:pPr>
        <w:widowControl/>
        <w:spacing w:after="160" w:line="348"/>
        <w:jc w:val="both"/>
      </w:pPr>
      <w:r>
        <w:t xml:space="preserve">列表SQL先约束user_id、deleted_at IS NULL、UTC半开边界；过滤输入使用绑定参数；排序occurred_at DESC,id DESC。total/items需同一只读快照或明确单SQL返回，避免并发时分页信息明显不一致。</w:t>
      </w:r>
    </w:p>
    <w:p>
      <w:pPr>
        <w:widowControl/>
        <w:spacing w:after="160" w:line="348"/>
        <w:jc w:val="both"/>
      </w:pPr>
      <w:r>
        <w:t xml:space="preserve">API金额与Entity保持string；不能使用全局BIGINT→Number parser。日期格式运行时校验真实日期，不仅字符串正则；月份合法性与年份范围建议2000～2100写入Schema。</w:t>
      </w:r>
    </w:p>
    <w:p>
      <w:pPr>
        <w:widowControl/>
        <w:spacing w:after="160" w:line="348"/>
        <w:jc w:val="both"/>
      </w:pPr>
      <w:r>
        <w:t xml:space="preserve">Web引入一套路由与一套服务器查询缓存即可；查询键包含当前用户身份、月份与筛选。表单局部state；提交成功失效相关分类/流水缓存；401/logout/用户切换清缓存。</w:t>
      </w:r>
    </w:p>
    <w:p>
      <w:pPr>
        <w:widowControl/>
        <w:spacing w:after="160" w:line="348"/>
        <w:jc w:val="both"/>
      </w:pPr>
      <w:r>
        <w:t xml:space="preserve">403防伪、404他人对象、409重复分类/幂等冲突、503依赖问题映射为友好状态；不记录备注、密码、Cookie或完整body。错误fields指向表单项。</w:t>
      </w:r>
    </w:p>
    <w:p>
      <w:pPr>
        <w:pStyle w:val="Heading1"/>
      </w:pPr>
      <w:r>
        <w:t xml:space="preserve">五、验证方案</w:t>
      </w:r>
    </w:p>
    <w:p>
      <w:pPr>
        <w:widowControl/>
        <w:spacing w:after="160" w:line="348"/>
        <w:jc w:val="both"/>
      </w:pPr>
      <w:r>
        <w:t xml:space="preserve">DB：部分唯一索引、复合外键、金额约束、方向/归档规则、幂等和回滚。HTTP：实际cookie+csrf请求，不能只单测Service。</w:t>
      </w:r>
    </w:p>
    <w:p>
      <w:pPr>
        <w:widowControl/>
        <w:spacing w:after="160" w:line="348"/>
        <w:jc w:val="both"/>
      </w:pPr>
      <w:r>
        <w:t xml:space="preserve">Web：元转分边界、分类随方向过滤、分页/空态/重试、重试保留键、账户切换清理。展示数据来自实际API，不能只用mock页面冒充可用。</w:t>
      </w:r>
    </w:p>
    <w:p>
      <w:pPr>
        <w:widowControl/>
        <w:spacing w:after="160" w:line="348"/>
        <w:jc w:val="both"/>
      </w:pPr>
      <w:r>
        <w:t xml:space="preserve">现有 pnpm check 不含业务真实DB集成；使用M1建立的独立integration脚本并记录测试库。OpenAPI/类型再生成后检查路径与请求头声明。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§3、§5～§6、§8；技术方案 §4～§6、§9；M1 认证/数据库出门条件。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M2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M2｜分类、流水创建与列表｜技术方案</dc:title>
  <dc:creator>程小帮</dc:creator>
  <cp:lastModifiedBy>Un-named</cp:lastModifiedBy>
  <cp:revision>1</cp:revision>
  <dcterms:created xsi:type="dcterms:W3CDTF">2026-10-09T08:03:38.543Z</dcterms:created>
  <dcterms:modified xsi:type="dcterms:W3CDTF">2026-10-09T08:03:38.543Z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