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M3｜流水生命周期、月报与基础幂等｜技术方案</w:t>
      </w:r>
    </w:p>
    <w:p>
      <w:pPr>
        <w:pStyle w:val="Subtitle"/>
        <w:jc w:val="left"/>
      </w:pPr>
      <w:r>
        <w:t xml:space="preserve">2026-12-07 ～ 2027-01-03｜阶段实施设计 v1.0｜2026-10-09</w:t>
      </w:r>
    </w:p>
    <w:p>
      <w:pPr>
        <w:widowControl/>
        <w:spacing w:after="160" w:line="348"/>
        <w:jc w:val="both"/>
      </w:pPr>
      <w:r>
        <w:t xml:space="preserve">当前状态：计划／未开始。内容定义后续实施目标，不表示业务已实现、测试已通过或环境已部署。</w:t>
      </w:r>
    </w:p>
    <w:p>
      <w:pPr>
        <w:widowControl/>
        <w:spacing w:after="160" w:line="348"/>
        <w:jc w:val="both"/>
      </w:pPr>
      <w:r>
        <w:t xml:space="preserve">文档用途：定义模块、数据库、事务/信任边界、前端契约与测试方法。</w:t>
      </w:r>
    </w:p>
    <w:p>
      <w:pPr>
        <w:widowControl/>
        <w:spacing w:after="160" w:line="348"/>
        <w:jc w:val="both"/>
      </w:pPr>
      <w:r>
        <w:t xml:space="preserve">前置门：M2本人分类、可靠创建、月份分页、基础事务/幂等、Web列表通过。M2已有请求键契约，本阶段不允许悄悄变更重复创建语义。</w:t>
      </w:r>
    </w:p>
    <w:p>
      <w:pPr>
        <w:widowControl/>
        <w:spacing w:after="160" w:line="348"/>
        <w:jc w:val="both"/>
      </w:pPr>
      <w:r>
        <w:t xml:space="preserve">阶段产出：编辑/软删、确定性月报、首次响应重放回归、Web月报/编辑/删除与端到端主流程。</w:t>
      </w:r>
    </w:p>
    <w:p>
      <w:pPr>
        <w:pStyle w:val="Heading1"/>
      </w:pPr>
      <w:r>
        <w:t xml:space="preserve">一、模块与公共函数</w:t>
      </w:r>
    </w:p>
    <w:p>
      <w:pPr>
        <w:widowControl/>
        <w:spacing w:after="160" w:line="348"/>
        <w:jc w:val="both"/>
      </w:pPr>
      <w:r>
        <w:t xml:space="preserve">新增 reports.module/controller/service/repository/schemas；entries扩展PATCH/DELETE。复用M2amount/date规范化和事务Repo，不另建统计数据源。</w:t>
      </w:r>
    </w:p>
    <w:p>
      <w:pPr>
        <w:widowControl/>
        <w:spacing w:after="160" w:line="348"/>
        <w:jc w:val="both"/>
      </w:pPr>
      <w:r>
        <w:t xml:space="preserve">时间函数输入YYYY-MM，输出Asia/Shanghai自然月UTC半开[start,end)；例如2026-12边界为2026-11-30T16:00:00Z～2026-12-31T16:00:00Z。年份不从浏览器locale推断。</w:t>
      </w:r>
    </w:p>
    <w:p>
      <w:pPr>
        <w:widowControl/>
        <w:spacing w:after="160" w:line="348"/>
        <w:jc w:val="both"/>
      </w:pPr>
      <w:r>
        <w:t xml:space="preserve">金额DB/Entity/JSON均string；净额与合计在领域用BigInt计算再toString；单笔上限不意味着总额安全地可转Number。条数必要时安全范围校验。</w:t>
      </w:r>
    </w:p>
    <w:p>
      <w:pPr>
        <w:pStyle w:val="Heading1"/>
      </w:pPr>
      <w:r>
        <w:t xml:space="preserve">二、编辑和软删算法</w:t>
      </w:r>
    </w:p>
    <w:p>
      <w:pPr>
        <w:widowControl/>
        <w:spacing w:after="160" w:line="348"/>
        <w:jc w:val="both"/>
      </w:pPr>
      <w:r>
        <w:t xml:space="preserve">PATCH在同一manager事务内按user_id/id锁本人未删流水，合并允许字段，再锁最终分类并校验。所有SQL走事务manager；统一锁顺序减少死锁，锁等待有界，错误回滚不吞异常。</w:t>
      </w:r>
    </w:p>
    <w:p>
      <w:pPr>
        <w:widowControl/>
        <w:spacing w:after="160" w:line="348"/>
        <w:jc w:val="both"/>
      </w:pPr>
      <w:r>
        <w:t xml:space="preserve">分类归档使用同样类别锁，编辑时已归档则409；编辑历史归档记录要求换有效分类。跨用户/已删资源404。禁止PATCH写created_at、deleted_at或idempotency快照。</w:t>
      </w:r>
    </w:p>
    <w:p>
      <w:pPr>
        <w:widowControl/>
        <w:spacing w:after="160" w:line="348"/>
        <w:jc w:val="both"/>
      </w:pPr>
      <w:r>
        <w:t xml:space="preserve">DELETE先按user_id/id读取（含已删）并确认归属；已删直接204，未删更新deleted_at后提交；不存在/他人404。不能使用ORM的“受影响0行=所有情况204”跳过权限。</w:t>
      </w:r>
    </w:p>
    <w:p>
      <w:pPr>
        <w:widowControl/>
        <w:spacing w:after="160" w:line="348"/>
        <w:jc w:val="both"/>
      </w:pPr>
      <w:r>
        <w:t xml:space="preserve">所有读查询统一 deleted_at IS NULL；测试原生SQL/QueryBuilder是否确实排除软删，而非只相信装饰器。</w:t>
      </w:r>
    </w:p>
    <w:p>
      <w:pPr>
        <w:pStyle w:val="Heading1"/>
      </w:pPr>
      <w:r>
        <w:t xml:space="preserve">三、月报查询与快照</w:t>
      </w:r>
    </w:p>
    <w:p>
      <w:pPr>
        <w:widowControl/>
        <w:spacing w:after="160" w:line="348"/>
        <w:jc w:val="both"/>
      </w:pPr>
      <w:r>
        <w:t xml:space="preserve">单次参数化SQL在user_id、未删、UTC边界限制后按categoryId/direction聚合；JOIN本人分类读取最新name/archived，保留历史归档数据。</w:t>
      </w:r>
    </w:p>
    <w:p>
      <w:pPr>
        <w:widowControl/>
        <w:spacing w:after="160" w:line="348"/>
        <w:jc w:val="both"/>
      </w:pPr>
      <w:r>
        <w:t xml:space="preserve">income/expense/net与hasEntries从同一聚合结果推导；无需分别查三次sum导致并发快照不同。独立SQL oracle不可复用被测ReportsService计算。</w:t>
      </w:r>
    </w:p>
    <w:p>
      <w:pPr>
        <w:widowControl/>
        <w:spacing w:after="160" w:line="348"/>
        <w:jc w:val="both"/>
      </w:pPr>
      <w:r>
        <w:t xml:space="preserve">不缓存月报，不增加专门汇总表；先使用M2部分索引并核对EXPLAIN ANALYZE。下钻复用GET entries的month/categoryId过滤。</w:t>
      </w:r>
    </w:p>
    <w:p>
      <w:pPr>
        <w:widowControl/>
        <w:spacing w:after="160" w:line="348"/>
        <w:jc w:val="both"/>
      </w:pPr>
      <w:r>
        <w:t xml:space="preserve">响应明确timeZone=Asia/Shanghai、CNY与recordCount；无数据返回零字符串、hasEntries:false与空分组。不能把有数据净零误当空月。</w:t>
      </w:r>
    </w:p>
    <w:p>
      <w:pPr>
        <w:pStyle w:val="Heading1"/>
      </w:pPr>
      <w:r>
        <w:t xml:space="preserve">四、幂等持久语义</w:t>
      </w:r>
    </w:p>
    <w:p>
      <w:pPr>
        <w:widowControl/>
        <w:spacing w:after="160" w:line="348"/>
        <w:jc w:val="both"/>
      </w:pPr>
      <w:r>
        <w:t xml:space="preserve">首次响应快照是不可变创建事实；业务修改只改变entries，不修改idempotency_requests快照。所有重放都保留原201/Location，即使流水后来软删也不创建新笔。</w:t>
      </w:r>
    </w:p>
    <w:p>
      <w:pPr>
        <w:widowControl/>
        <w:spacing w:after="160" w:line="348"/>
        <w:jc w:val="both"/>
      </w:pPr>
      <w:r>
        <w:t xml:space="preserve">normalize对象字段顺序固定；金额/时间/缺省note语义一致；note确有变化属于不同请求体。相同时刻不同offset应得到相同指纹。</w:t>
      </w:r>
    </w:p>
    <w:p>
      <w:pPr>
        <w:widowControl/>
        <w:spacing w:after="160" w:line="348"/>
        <w:jc w:val="both"/>
      </w:pPr>
      <w:r>
        <w:t xml:space="preserve">复用M2 ON CONFLICT DO NOTHING+同事务FOR UPDATE算法。不可使用捕获23505再直接查询的aborted事务；不可在“保存幂等行”和“写流水”之间单独提交。</w:t>
      </w:r>
    </w:p>
    <w:p>
      <w:pPr>
        <w:pStyle w:val="Heading1"/>
      </w:pPr>
      <w:r>
        <w:t xml:space="preserve">五、前端与验收数据</w:t>
      </w:r>
    </w:p>
    <w:p>
      <w:pPr>
        <w:widowControl/>
        <w:spacing w:after="160" w:line="348"/>
        <w:jc w:val="both"/>
      </w:pPr>
      <w:r>
        <w:t xml:space="preserve">新增reports页面、edit表单、delete确认；服务器数据查询键含用户/月/过滤；变更后失效旧月、新月、分类分组与相应列表。</w:t>
      </w:r>
    </w:p>
    <w:p>
      <w:pPr>
        <w:widowControl/>
        <w:spacing w:after="160" w:line="348"/>
        <w:jc w:val="both"/>
      </w:pPr>
      <w:r>
        <w:t xml:space="preserve">建立固定A/B数据：跨12月31/1月1、闰年2月29、上海月初一瞬、净额0、负净额、两个同名分类（一个归档）、已删；每个fixture写期望值。</w:t>
      </w:r>
    </w:p>
    <w:p>
      <w:pPr>
        <w:widowControl/>
        <w:spacing w:after="160" w:line="348"/>
        <w:jc w:val="both"/>
      </w:pPr>
      <w:r>
        <w:t xml:space="preserve">单元测试时间函数/金额；真实DB测试编辑/软删/重放/月报；HTTP测204无body和404；Web E2E断言实际列表与报表值，不只是按钮可点击。</w:t>
      </w:r>
    </w:p>
    <w:p>
      <w:pPr>
        <w:pStyle w:val="Heading1"/>
      </w:pPr>
      <w:r>
        <w:t xml:space="preserve">依据与实施状态</w:t>
      </w:r>
    </w:p>
    <w:p>
      <w:pPr>
        <w:widowControl/>
        <w:spacing w:after="160" w:line="348"/>
        <w:jc w:val="both"/>
      </w:pPr>
      <w:r>
        <w:t xml:space="preserve">基线：49410c2（2026-10-09核对）；总计划：plan/2026-10-09-个人账本全栈学习计划.docx。产品依据：docs/PRD-fullstack-ai-ledger.md；技术依据：docs/TECH-PLAN-fullstack-ai-ledger.md。重点章节：PRD §3、§5～§6；技术方案 §4～§6、§9；M2 创建事务与首次响应设计。</w:t>
      </w:r>
    </w:p>
    <w:p>
      <w:pPr>
        <w:widowControl/>
        <w:spacing w:after="160" w:line="348"/>
        <w:jc w:val="both"/>
      </w:pPr>
      <w:r>
        <w:t xml:space="preserve">通用约束：只有虚构数据；NestJS/React 单体、本机 PostgreSQL、TypeORM、单一 DATABASE_URL；synchronize:false、migrationsRun:false；无 Docker、Redis 或新业务框架。金额分字符串，月份固定上海时区。文档中的目标文件、命令与验收不是已有实现。</w:t>
      </w:r>
    </w:p>
    <w:p>
      <w:pPr>
        <w:widowControl/>
        <w:spacing w:after="160" w:line="348"/>
        <w:jc w:val="both"/>
      </w:pPr>
      <w:r>
        <w:t xml:space="preserve">health/ready 保留既有探针响应及无业务认证语义；统一业务 Filter 不改 ready 的 status 契约。会话中间件不得使 health 依赖数据库。ready 的公开生成产物与代理路由边界在M5上线前验证。</w:t>
      </w:r>
    </w:p>
    <w:p>
      <w:pPr>
        <w:widowControl/>
        <w:spacing w:after="160" w:line="348"/>
        <w:jc w:val="both"/>
      </w:pPr>
      <w:r>
        <w:t xml:space="preserve">阶段完成状态与实际命令/证据记录在本目录 README.md。未执行项目保持未验证；历史原型测试不能替代本阶段验收。</w:t>
      </w:r>
    </w:p>
    <w:sectPr>
      <w:footerReference w:type="default" r:id="rId7"/>
      <w:pgSz w:w="11905" w:h="16837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center"/>
    </w:pPr>
    <w:r>
      <w:rPr>
        <w:color w:val="5B6573"/>
        <w:sz w:val="18"/>
        <w:szCs w:val="18"/>
      </w:rPr>
      <w:t xml:space="preserve">M3 · 虚构数据学习项目</w:t>
    </w:r>
    <w:r>
      <w:rPr>
        <w:color w:val="5B6573"/>
        <w:sz w:val="18"/>
        <w:szCs w:val="18"/>
      </w:rPr>
      <w:t xml:space="preserve">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3" w:hanging="226"/>
      </w:pPr>
    </w:lvl>
    <w:lvl w:ilvl="1" w15:tentative="1">
      <w:start w:val="1"/>
      <w:numFmt w:val="bullet"/>
      <w:lvlText w:val="◦"/>
      <w:lvlJc w:val="left"/>
      <w:pPr>
        <w:ind w:left="907" w:hanging="226"/>
      </w:pPr>
    </w:lvl>
    <w:lvl w:ilvl="2" w15:tentative="1">
      <w:start w:val="1"/>
      <w:numFmt w:val="bullet"/>
      <w:lvlText w:val="▪"/>
      <w:lvlJc w:val="left"/>
      <w:pPr>
        <w:ind w:left="1360" w:hanging="226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3" w:hanging="226"/>
      </w:pPr>
    </w:lvl>
    <w:lvl w:ilvl="1" w15:tentative="1">
      <w:start w:val="1"/>
      <w:numFmt w:val="lowerLetter"/>
      <w:lvlText w:val="%2."/>
      <w:lvlJc w:val="left"/>
      <w:pPr>
        <w:ind w:left="907" w:hanging="226"/>
      </w:pPr>
    </w:lvl>
    <w:lvl w:ilvl="2" w15:tentative="1">
      <w:start w:val="1"/>
      <w:numFmt w:val="lowerRoman"/>
      <w:lvlText w:val="%3."/>
      <w:lvlJc w:val="left"/>
      <w:pPr>
        <w:ind w:left="1360" w:hanging="22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202936"/>
        <w:sz w:val="22"/>
        <w:szCs w:val="22"/>
      </w:rPr>
    </w:rPrDefault>
    <w:pPrDefault>
      <w:pPr>
        <w:widowControl/>
        <w:spacing w:after="160" w:line="348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160" w:before="0" w:line="288"/>
    </w:pPr>
    <w:rPr>
      <w:rFonts w:ascii="PingFang SC" w:cs="PingFang SC" w:eastAsia="PingFang SC" w:hAnsi="PingFang SC"/>
      <w:b/>
      <w:bCs/>
      <w:color w:val="1E3A5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300" w:line="288"/>
      <w:outlineLvl w:val="0"/>
    </w:pPr>
    <w:rPr>
      <w:rFonts w:ascii="PingFang SC" w:cs="PingFang SC" w:eastAsia="PingFang SC" w:hAnsi="PingFang SC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20" w:line="288"/>
      <w:outlineLvl w:val="1"/>
    </w:pPr>
    <w:rPr>
      <w:rFonts w:ascii="PingFang SC" w:cs="PingFang SC" w:eastAsia="PingFang SC" w:hAnsi="PingFang SC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20" w:line="288"/>
      <w:outlineLvl w:val="2"/>
    </w:pPr>
    <w:rPr>
      <w:rFonts w:ascii="PingFang SC" w:cs="PingFang SC" w:eastAsia="PingFang SC" w:hAnsi="PingFang SC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keepLines/>
      <w:spacing w:after="120" w:before="220" w:line="288"/>
      <w:outlineLvl w:val="3"/>
    </w:pPr>
    <w:rPr>
      <w:rFonts w:ascii="PingFang SC" w:cs="PingFang SC" w:eastAsia="PingFang SC" w:hAnsi="PingFang SC"/>
      <w:b/>
      <w:bCs/>
      <w:color w:val="1E3A5F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next w:val="Normal"/>
    <w:qFormat/>
    <w:pPr>
      <w:widowControl/>
      <w:spacing w:after="160" w:line="348"/>
    </w:pPr>
    <w:rPr>
      <w:rFonts w:ascii="PingFang SC" w:cs="PingFang SC" w:eastAsia="PingFang SC" w:hAnsi="PingFang SC"/>
      <w:color w:val="202936"/>
      <w:sz w:val="22"/>
      <w:szCs w:val="22"/>
    </w:rPr>
  </w:style>
  <w:style w:type="paragraph" w:styleId="TableText">
    <w:name w:val="Table Text"/>
    <w:pPr>
      <w:spacing w:after="0" w:before="0" w:line="240"/>
      <w:ind w:left="0" w:right="0" w:firstLine="0"/>
    </w:pPr>
    <w:rPr>
      <w:rFonts w:ascii="PingFang SC" w:cs="PingFang SC" w:eastAsia="PingFang SC" w:hAnsi="PingFang SC"/>
      <w:sz w:val="20"/>
      <w:szCs w:val="20"/>
    </w:rPr>
  </w:style>
  <w:style w:type="paragraph" w:styleId="Subtitle">
    <w:name w:val="Subtitle"/>
    <w:pPr>
      <w:keepNext/>
      <w:keepLines/>
      <w:spacing w:after="280" w:before="0"/>
    </w:pPr>
    <w:rPr>
      <w:color w:val="5B6573"/>
      <w:sz w:val="22"/>
      <w:szCs w:val="22"/>
    </w:rPr>
  </w:style>
  <w:style w:type="paragraph" w:styleId="Caption">
    <w:name w:val="Caption"/>
    <w:pPr>
      <w:keepLines/>
      <w:spacing w:after="160" w:before="0" w:line="264"/>
    </w:pPr>
    <w:rPr>
      <w:color w:val="5B657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M3｜流水生命周期、月报与基础幂等｜技术方案</dc:title>
  <dc:creator>程小帮</dc:creator>
  <cp:lastModifiedBy>Un-named</cp:lastModifiedBy>
  <cp:revision>1</cp:revision>
  <dcterms:created xsi:type="dcterms:W3CDTF">2026-10-09T08:03:38.560Z</dcterms:created>
  <dcterms:modified xsi:type="dcterms:W3CDTF">2026-10-09T08:03:38.560Z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