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M5｜交付、可观测性与恢复｜PRD</w:t>
      </w:r>
    </w:p>
    <w:p>
      <w:pPr>
        <w:pStyle w:val="Subtitle"/>
        <w:jc w:val="left"/>
      </w:pPr>
      <w:r>
        <w:t xml:space="preserve">2027-02-01 ～ 2027-02-28｜阶段实施设计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文档用途：定义用户、范围、接口行为、错误反馈与产品验收。</w:t>
      </w:r>
    </w:p>
    <w:p>
      <w:pPr>
        <w:widowControl/>
        <w:spacing w:after="160" w:line="348"/>
        <w:jc w:val="both"/>
      </w:pPr>
      <w:r>
        <w:t xml:space="preserve">前置门：P0质量门通过；迁移、种子、全套测试命令已真实存在，未解决的权限/数据/幂等问题不得带入部署。</w:t>
      </w:r>
    </w:p>
    <w:p>
      <w:pPr>
        <w:widowControl/>
        <w:spacing w:after="160" w:line="348"/>
        <w:jc w:val="both"/>
      </w:pPr>
      <w:r>
        <w:t xml:space="preserve">阶段产出：可复现CI与环境说明、requestId/脱敏观测、受控同源HTTPS预览或等价部署演练、备份恢复证据。</w:t>
      </w:r>
    </w:p>
    <w:p>
      <w:pPr>
        <w:pStyle w:val="Heading1"/>
      </w:pPr>
      <w:r>
        <w:t xml:space="preserve">一、使用场景与范围</w:t>
      </w:r>
    </w:p>
    <w:p>
      <w:pPr>
        <w:widowControl/>
        <w:spacing w:after="160" w:line="348"/>
        <w:jc w:val="both"/>
      </w:pPr>
      <w:r>
        <w:t xml:space="preserve">本人或受控同事可从干净环境启动虚构账本；出现失败可根据requestId定位，破坏性操作前可备份，恢复后可核对数值。</w:t>
      </w:r>
    </w:p>
    <w:p>
      <w:pPr>
        <w:widowControl/>
        <w:spacing w:after="160" w:line="348"/>
        <w:jc w:val="both"/>
      </w:pPr>
      <w:r>
        <w:t xml:space="preserve">本阶段无新增业务API；增加运行/日志/CI/安全配置，保持已公开业务契约。禁止公开注册/真实数据、多实例、Docker、Kubernetes、Redis或可用性SLA承诺。</w:t>
      </w:r>
    </w:p>
    <w:p>
      <w:pPr>
        <w:widowControl/>
        <w:spacing w:after="160" w:line="348"/>
        <w:jc w:val="both"/>
      </w:pPr>
      <w:r>
        <w:t xml:space="preserve">仅受控账号能进入预览；数据库不暴露公网、/internal/ready不对外路由。春节/加班周只维护，不按假期长度虚构可用工时。</w:t>
      </w:r>
    </w:p>
    <w:p>
      <w:pPr>
        <w:pStyle w:val="Heading1"/>
      </w:pPr>
      <w:r>
        <w:t xml:space="preserve">二、需求编号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1882"/>
        <w:gridCol w:w="7529"/>
      </w:tblGrid>
      <w:tr>
        <w:trPr>
          <w:cantSplit/>
          <w:tblHeader/>
        </w:trPr>
        <w:tc>
          <w:tcPr>
            <w:tcW w:type="dxa" w:w="1882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编号</w:t>
            </w:r>
          </w:p>
        </w:tc>
        <w:tc>
          <w:tcPr>
            <w:tcW w:type="dxa" w:w="7529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验收行为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M5-R01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干净环境锁文件安装、显式migration/seed、测试与构建成功；无秘密入仓库。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M5-R02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CI类型/测试/生成契约新鲜度/构建/迁移验证可重现；DB测试不以跳过伪装成功。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M5-R03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浏览器与API同源HTTPS；Cookie属性正确、Origin/CSRF仍生效；公网不能访问内部探针和数据库。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M5-R04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通过requestId找到路由、状态、耗时、错误码；日志不含Cookie、密码、连接串、备注、完整body或原始AI问题。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M5-R05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从虚构备份恢复到空库并独立核对行数/月报；备份内容、版本、恢复顺序和耗时有记录。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M5-R06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≥10000条记录测试月报p95目标&lt;500ms，记录样本/环境/错误率；达不到如实报告并修复，不伪称生产性能。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三、失败与降级</w:t>
      </w:r>
    </w:p>
    <w:p>
      <w:pPr>
        <w:widowControl/>
        <w:spacing w:after="160" w:line="348"/>
        <w:jc w:val="both"/>
      </w:pPr>
      <w:r>
        <w:t xml:space="preserve">CI DB服务不可用时该检查明确失败，不跳过；迁移失败不启动新版；备份失败不继续破坏性迁移。</w:t>
      </w:r>
    </w:p>
    <w:p>
      <w:pPr>
        <w:widowControl/>
        <w:spacing w:after="160" w:line="348"/>
        <w:jc w:val="both"/>
      </w:pPr>
      <w:r>
        <w:t xml:space="preserve">预览部署平台可在阶段开始选择非Docker的受控VM或托管Node方案；没有访问/预算条件则记录“HTTPS部署未验收”，完成本地演练并延后正式预览，不能写全部门槛通过。</w:t>
      </w:r>
    </w:p>
    <w:p>
      <w:pPr>
        <w:widowControl/>
        <w:spacing w:after="160" w:line="348"/>
        <w:jc w:val="both"/>
      </w:pPr>
      <w:r>
        <w:t xml:space="preserve">数据库离线，health200、ready503、业务503；恢复后可重试；关停时停止新请求并释放DataSource，不能进程退出后仍遗留测试服务。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§8～§11；技术方案 §8～§9；M4 P0门、根目录 package scripts。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M5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M5｜交付、可观测性与恢复｜PRD</dc:title>
  <dc:creator>程小帮</dc:creator>
  <cp:lastModifiedBy>Un-named</cp:lastModifiedBy>
  <cp:revision>1</cp:revision>
  <dcterms:created xsi:type="dcterms:W3CDTF">2026-10-09T08:03:38.584Z</dcterms:created>
  <dcterms:modified xsi:type="dcterms:W3CDTF">2026-10-09T08:03:38.584Z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