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OA系统-资产管理模块详细需求说明书（AI可识别落地版）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一、需求概述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模块定位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资产管理模块为OA系统核心职能模块，聚焦企业</w:t>
      </w:r>
      <w:r>
        <w:rPr>
          <w:rFonts w:eastAsia="等线" w:ascii="Arial" w:cs="Arial" w:hAnsi="Arial"/>
          <w:b w:val="true"/>
          <w:sz w:val="22"/>
        </w:rPr>
        <w:t>固定资产、无形资产</w:t>
      </w:r>
      <w:r>
        <w:rPr>
          <w:rFonts w:eastAsia="等线" w:ascii="Arial" w:cs="Arial" w:hAnsi="Arial"/>
          <w:sz w:val="22"/>
        </w:rPr>
        <w:t>全生命周期数字化管理，覆盖资产录入、台账管理、领用、归还、调拨、维保、报废、盘点、折旧、溯源等全流程，替代传统Excel手工记账模式，实现企业资产可控、可查、可追溯、可统计，助力企业降本增效、规避资产流失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模块独立运行，同时与OA系统组织架构、审批流、考勤、财务报销、消息通知模块深度联动，数据互通。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设计身份适配说明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本需求结合三重身份优化完善，兼顾落地性、体验性、稳定性：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产品经理视角</w:t>
      </w:r>
      <w:r>
        <w:rPr>
          <w:rFonts w:eastAsia="等线" w:ascii="Arial" w:cs="Arial" w:hAnsi="Arial"/>
          <w:sz w:val="22"/>
        </w:rPr>
        <w:t>：补齐业务闭环、细化场景边界、明确字段规则、权限体系、流程规范、异常处理，覆盖企业全资产管控场景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UI设计师视角</w:t>
      </w:r>
      <w:r>
        <w:rPr>
          <w:rFonts w:eastAsia="等线" w:ascii="Arial" w:cs="Arial" w:hAnsi="Arial"/>
          <w:sz w:val="22"/>
        </w:rPr>
        <w:t>：明确页面布局、交互逻辑、状态展示、弹窗规则、列表样式，适配OA系统简约办公风格，保证操作高效、视觉统一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架构师视角</w:t>
      </w:r>
      <w:r>
        <w:rPr>
          <w:rFonts w:eastAsia="等线" w:ascii="Arial" w:cs="Arial" w:hAnsi="Arial"/>
          <w:sz w:val="22"/>
        </w:rPr>
        <w:t>：拆分模块结构、定义数据模型、规范接口逻辑、区分权限层级、支持扩展迭代，适配后续资产类型新增、多分支机构、财务对账拓展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资产核心分类（最终定稿）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整体分为两大一级资产类型：固定资产、无形资产，下属细分二级、三级分类，覆盖用户原有场景并补齐企业通用资产类型：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1.3.1 固定资产（有形、可实物盘点、有使用周期、可折旧）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定义：企业拥有或控制的、有形实物、使用年限超1年、单位价值达标、用于生产经营的资产，支持折旧核算、实物盘点、设备维保。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交通设备</w:t>
      </w:r>
      <w:r>
        <w:rPr>
          <w:rFonts w:eastAsia="等线" w:ascii="Arial" w:cs="Arial" w:hAnsi="Arial"/>
          <w:sz w:val="22"/>
        </w:rPr>
        <w:t>：企业车辆（公务车、货车、商务车等）、新能源通勤车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智能设备</w:t>
      </w:r>
      <w:r>
        <w:rPr>
          <w:rFonts w:eastAsia="等线" w:ascii="Arial" w:cs="Arial" w:hAnsi="Arial"/>
          <w:sz w:val="22"/>
        </w:rPr>
        <w:t>：无人机、监控设备、对讲机、智能终端、传感设备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办公设备</w:t>
      </w:r>
      <w:r>
        <w:rPr>
          <w:rFonts w:eastAsia="等线" w:ascii="Arial" w:cs="Arial" w:hAnsi="Arial"/>
          <w:sz w:val="22"/>
        </w:rPr>
        <w:t>：电脑、打印机、投影仪、复印机、显示器、键盘鼠标套装、音响设备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办公家具</w:t>
      </w:r>
      <w:r>
        <w:rPr>
          <w:rFonts w:eastAsia="等线" w:ascii="Arial" w:cs="Arial" w:hAnsi="Arial"/>
          <w:sz w:val="22"/>
        </w:rPr>
        <w:t>：办公桌、会议桌、文件柜、沙发、绿植、展示柜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机电设备</w:t>
      </w:r>
      <w:r>
        <w:rPr>
          <w:rFonts w:eastAsia="等线" w:ascii="Arial" w:cs="Arial" w:hAnsi="Arial"/>
          <w:sz w:val="22"/>
        </w:rPr>
        <w:t>：空调、热水器、发电机、通风设备、办公水电配套设备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其他固定资产</w:t>
      </w:r>
      <w:r>
        <w:rPr>
          <w:rFonts w:eastAsia="等线" w:ascii="Arial" w:cs="Arial" w:hAnsi="Arial"/>
          <w:sz w:val="22"/>
        </w:rPr>
        <w:t>：无法归类的有形实物固定资产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1.3.2 无形资产（无实物、权属类、资质权益类、可摊销）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定义：企业拥有或控制的、无实物形态、可长期使用、具备商业价值的权益性资产，支持摊销核算、资质到期提醒、权属溯源。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知识产权</w:t>
      </w:r>
      <w:r>
        <w:rPr>
          <w:rFonts w:eastAsia="等线" w:ascii="Arial" w:cs="Arial" w:hAnsi="Arial"/>
          <w:sz w:val="22"/>
        </w:rPr>
        <w:t>：软件著作权、专利（发明专利/实用新型/外观专利）、商标、版权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企业资质</w:t>
      </w:r>
      <w:r>
        <w:rPr>
          <w:rFonts w:eastAsia="等线" w:ascii="Arial" w:cs="Arial" w:hAnsi="Arial"/>
          <w:sz w:val="22"/>
        </w:rPr>
        <w:t>：经营许可证、行业资质证书、体系认证（ISO9001等）、备案资质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权益类资产</w:t>
      </w:r>
      <w:r>
        <w:rPr>
          <w:rFonts w:eastAsia="等线" w:ascii="Arial" w:cs="Arial" w:hAnsi="Arial"/>
          <w:sz w:val="22"/>
        </w:rPr>
        <w:t>：域名、网站备案、软件授权、系统使用权、会员长期权益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其他无形资产</w:t>
      </w:r>
      <w:r>
        <w:rPr>
          <w:rFonts w:eastAsia="等线" w:ascii="Arial" w:cs="Arial" w:hAnsi="Arial"/>
          <w:sz w:val="22"/>
        </w:rPr>
        <w:t>：品牌授权、合作权益等其他无实物资产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二、整体系统架构设计（架构师维度）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 模块架构分层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采用经典三层架构，低耦合、高扩展，支持后续迭代：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前端展示层</w:t>
      </w:r>
      <w:r>
        <w:rPr>
          <w:rFonts w:eastAsia="等线" w:ascii="Arial" w:cs="Arial" w:hAnsi="Arial"/>
          <w:sz w:val="22"/>
        </w:rPr>
        <w:t>：OA资产管理首页、资产台账、资产操作、审批单据、统计报表、个人资产中心、系统配置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业务逻辑层</w:t>
      </w:r>
      <w:r>
        <w:rPr>
          <w:rFonts w:eastAsia="等线" w:ascii="Arial" w:cs="Arial" w:hAnsi="Arial"/>
          <w:sz w:val="22"/>
        </w:rPr>
        <w:t>：资产分类管理、资产全流程业务、权限校验、流程联动、消息推送、数据计算（折旧/摊销）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数据持久层</w:t>
      </w:r>
      <w:r>
        <w:rPr>
          <w:rFonts w:eastAsia="等线" w:ascii="Arial" w:cs="Arial" w:hAnsi="Arial"/>
          <w:sz w:val="22"/>
        </w:rPr>
        <w:t>：固定资产数据表、无形资产数据表、资产操作日志表、资产审批记录表、资产盘点记录表、部门资产统计表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2.2 模块联动关系</w:t>
      </w:r>
      <w:bookmarkEnd w:id="8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联动</w:t>
      </w:r>
      <w:r>
        <w:rPr>
          <w:rFonts w:eastAsia="等线" w:ascii="Arial" w:cs="Arial" w:hAnsi="Arial"/>
          <w:b w:val="true"/>
          <w:sz w:val="22"/>
        </w:rPr>
        <w:t>组织架构</w:t>
      </w:r>
      <w:r>
        <w:rPr>
          <w:rFonts w:eastAsia="等线" w:ascii="Arial" w:cs="Arial" w:hAnsi="Arial"/>
          <w:sz w:val="22"/>
        </w:rPr>
        <w:t>：自动关联部门、责任人、管理员，支持按部门/人员筛选资产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联动</w:t>
      </w:r>
      <w:r>
        <w:rPr>
          <w:rFonts w:eastAsia="等线" w:ascii="Arial" w:cs="Arial" w:hAnsi="Arial"/>
          <w:b w:val="true"/>
          <w:sz w:val="22"/>
        </w:rPr>
        <w:t>审批流模块</w:t>
      </w:r>
      <w:r>
        <w:rPr>
          <w:rFonts w:eastAsia="等线" w:ascii="Arial" w:cs="Arial" w:hAnsi="Arial"/>
          <w:sz w:val="22"/>
        </w:rPr>
        <w:t>：资产领用、调拨、报废、维保、挂失全部走OA自定义审批流程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联动</w:t>
      </w:r>
      <w:r>
        <w:rPr>
          <w:rFonts w:eastAsia="等线" w:ascii="Arial" w:cs="Arial" w:hAnsi="Arial"/>
          <w:b w:val="true"/>
          <w:sz w:val="22"/>
        </w:rPr>
        <w:t>消息通知模块</w:t>
      </w:r>
      <w:r>
        <w:rPr>
          <w:rFonts w:eastAsia="等线" w:ascii="Arial" w:cs="Arial" w:hAnsi="Arial"/>
          <w:sz w:val="22"/>
        </w:rPr>
        <w:t>：资产到期、维保到期、资质过期、审批待办自动推送消息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联动</w:t>
      </w:r>
      <w:r>
        <w:rPr>
          <w:rFonts w:eastAsia="等线" w:ascii="Arial" w:cs="Arial" w:hAnsi="Arial"/>
          <w:b w:val="true"/>
          <w:sz w:val="22"/>
        </w:rPr>
        <w:t>财务模块</w:t>
      </w:r>
      <w:r>
        <w:rPr>
          <w:rFonts w:eastAsia="等线" w:ascii="Arial" w:cs="Arial" w:hAnsi="Arial"/>
          <w:sz w:val="22"/>
        </w:rPr>
        <w:t>：资产折旧、摊销、报废金额同步财务对账数据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2.3 扩展性设计</w:t>
      </w:r>
      <w:bookmarkEnd w:id="9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支持后台自定义新增/编辑/删除资产分类，无需改代码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支持自定义折旧、摊销规则，适配不同企业财务制度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支持多分支机构、多公司独立资产台账隔离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支持后续新增RFID盘点、二维码溯源、资产监控硬件对接接口预留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三、核心功能详细需求（产品经理维度，AI可精准执行）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基础配置功能（管理员专属）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3.1.1 资产分类配置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功能描述：后台支持管理员自定义管理一级、二级、三级资产分类，默认加载系统预设分类（1.3章节分类）。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操作权限：仅超级管理员、资产管理员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字段配置：分类名称、父级分类、排序序号、分类类型（固定资产/无形资产）、状态（启用/禁用）、创建时间、备注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规则：禁用分类后，不可新增该分类资产，已有资产保留历史数据，不影响查询。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3.1.2 资产规则配置</w:t>
      </w:r>
      <w:bookmarkEnd w:id="13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固定资产折旧规则</w:t>
      </w:r>
      <w:r>
        <w:rPr>
          <w:rFonts w:eastAsia="等线" w:ascii="Arial" w:cs="Arial" w:hAnsi="Arial"/>
          <w:sz w:val="22"/>
        </w:rPr>
        <w:t>：支持平均年限法、工作量法，可设置默认折旧年限、残值率、折旧起始月份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无形资产摊销规则</w:t>
      </w:r>
      <w:r>
        <w:rPr>
          <w:rFonts w:eastAsia="等线" w:ascii="Arial" w:cs="Arial" w:hAnsi="Arial"/>
          <w:sz w:val="22"/>
        </w:rPr>
        <w:t>：支持平均摊销，可设置摊销年限、摊销比例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编号生成规则</w:t>
      </w:r>
      <w:r>
        <w:rPr>
          <w:rFonts w:eastAsia="等线" w:ascii="Arial" w:cs="Arial" w:hAnsi="Arial"/>
          <w:sz w:val="22"/>
        </w:rPr>
        <w:t>：系统自动生成唯一资产编码，规则：分类编码+年份+流水号（示例：GD-2026-0001）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到期提醒规则</w:t>
      </w:r>
      <w:r>
        <w:rPr>
          <w:rFonts w:eastAsia="等线" w:ascii="Arial" w:cs="Arial" w:hAnsi="Arial"/>
          <w:sz w:val="22"/>
        </w:rPr>
        <w:t>：支持自定义提前提醒天数（资质到期、维保到期、授权到期）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3.2 资产台账核心功能（核心模块）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分为【固定资产台账】【无形资产台账】两个独立页面，支持新增、编辑、删除、导出、打印、筛选、搜索、溯源。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3.2.1 固定资产台账-必填/选填字段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基础字段：资产编码（系统自动生成、唯一不可重复）、资产名称、资产分类、资产规格型号、采购编号、采购时间、入库时间、采购单价、采购总价、数量、计量单位、生产厂家、序列号/设备SN码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归属字段：所属公司、所属部门、使用责任人、存放地点、资产来源（采购/调拨/捐赠）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财务字段：资产原值、残值率、折旧年限、月折旧金额、累计折旧、资产净值、折旧状态（正常折旧/停止折旧/已折旧完毕）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状态字段：资产状态（闲置/在用/维修/报废/挂失/盘点中）、使用状态、维保状态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拓展字段：资产图片、采购合同附件、验收单附件、备注、创建人、更新时间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3.2.2 无形资产台账-必填/选填字段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基础字段：资产编码（统一规则）、资产名称、无形资产分类、证书编号/授权编号、发证机构、获取时间、生效时间、到期时间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归属字段：所属公司、所属部门、责任人、权益适用范围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财务字段：资产原值、摊销年限、月摊销金额、累计摊销、资产净值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状态字段：资产状态（有效/即将过期/已过期/注销）、摊销状态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拓展字段：证书扫描件、授权合同、备案文件、到期提醒状态、备注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3.2.3 台账通用功能规则</w:t>
      </w:r>
      <w:bookmarkEnd w:id="17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搜索：支持模糊搜索（资产名称、编码、责任人、编号）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筛选：支持按资产类型、部门、状态、时间、分类多条件组合筛选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导出：支持Excel/Word导出，可自定义导出字段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溯源：单资产点击溯源，展示全生命周期操作记录（新增、领用、调拨、维保、盘点、报废）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删除规则：已发生领用、维保、盘点记录的资产，禁止物理删除，仅支持作废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3.3 资产全生命周期操作功能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所有操作均生成操作日志，关联审批流，状态实时同步台账。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3.3.1 资产领用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适用对象：固定资产（实物资产），无形资产不支持领用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业务流程：员工发起领用申请→部门负责人审批→资产管理员审批→审批通过自动变更资产责任人和使用状态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申请字段：领用资产、领用数量、领用用途、领用时间、预计归还时间、备注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3.3.2 资产归还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适用对象：临时领用的固定资产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业务流程：领用人员发起归还申请→资产管理员核验→审批通过更新资产状态为【闲置】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特殊规则：逾期归还系统自动记录逾期日志，支持管理员查看逾期记录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3.3.3 资产调拨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适用对象：所有固定资产、无形资产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场景：跨部门、跨分支机构资产转移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流程：发起人填写调拨信息→转出部门审批→转入部门审批→资产管理员确认→自动更新所属部门、责任人、存放地点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3.3.4 资产维保（固定资产专属）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场景：设备故障维修、定期保养、无人机/车辆年检维保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字段：维保资产、维保类型（维修/保养/年检）、维保原因、维保单位、维保费用、维保开始/结束时间、维保凭证、验收结果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规则：维保期间资产状态自动变更为【维修中】，维保完成后恢复【在用】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3.3.5 资产盘点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支持手动盘点、批量盘点，区分固定资产实物盘点、无形资产资质核对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流程：管理员创建盘点任务→选择盘点范围（部门/资产类型）→人员盘点录入（盘盈/盘亏/正常）→生成盘点报告→异常数据提交审批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盘盈盘亏自动记录台账差异，留存溯源记录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3.3.6 资产报废/注销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固定资产：报废申请，填写报废原因、报废残值、处置方式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无形资产：到期注销、主动注销，填写注销原因、权益终止说明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审批通过后，资产状态变更为【已报废/已注销】，停止折旧/摊销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3.3.7 到期提醒（无形资产核心）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系统自动监测无形资产到期时间，提前预设天数推送OA消息、站内信提醒责任人及管理员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状态自动变更：到期前30天=即将过期，到期后=已过期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3.4 统计报表功能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自动生成可视化报表，支持导出、大屏展示，适配管理复盘需求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资产总览报表：总资产数量、固定资产/无形资产占比、在用/闲置/报废占比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部门资产报表：各部门资产数量、资产总值、折旧摊销统计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资产变动报表：新增、调拨、报废、维保月度/年度统计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资质到期报表：即将过期、已过期无形资产清单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设备维保报表：固定资产维保次数、维保费用统计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3.5 个人资产中心（员工端）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员工可查看自己名下所有领用/负责的固定资产、无形资产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支持个人发起领用、归还、异常报修申请，查看个人资产操作记录、审批进度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四、权限体系设计（精准角色权限，AI可配置）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采用RBAC角色权限控制，分三级权限，精准区分操作范围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4.1 超级管理员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所有权限：配置、新增、编辑、删除、审批、盘点、报表查看、数据导出、日志查看、权限分配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4.2 资产管理员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核心权限：资产台账管理、盘点任务创建、维保审核、报废审核、报表查看、数据导出；无系统配置、权限分配权限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4.3 部门管理员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权限：查看本部门资产、审批本部门资产申请、查看部门资产报表；无法操作其他部门资产、无法删除资产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4.4 普通员工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权限：查看个人资产、发起领用/归还/报修申请、查看个人审批记录；无台账编辑、批量操作、导出权限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五、UI/UX交互规范（UI设计师维度，AI可还原页面）</w:t>
      </w:r>
      <w:bookmarkEnd w:id="3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5.1 整体页面风格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适配OA系统极简办公风格，主色调：企业标准蓝，辅助色：灰色、绿色（正常）、橙色（预警）、红色（过期/异常），页面布局统一为【顶部导航+左侧菜单+右侧主内容区】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5.2 核心页面交互规则</w:t>
      </w:r>
      <w:bookmarkEnd w:id="35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台账列表：分页展示（默认10条/页），字段对齐统一，状态标签彩色高亮展示，操作列固定（查看/编辑/溯源/操作）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新增/编辑弹窗：分层表单布局，基础信息、财务信息、拓展信息分栏展示，必填项红色星号标注，实时表单校验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状态交互：闲置=灰色、在用=绿色、维保中=橙色、报废/过期=红色、即将到期=橙黄色预警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消息交互：所有待办、预警、审批结果实时推送OA站内信，角标数字提醒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报表页面：采用柱状图、饼图、折线图可视化展示，支持hover悬浮查看详情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六、数据规则与异常处理（AI开发强制遵循）</w:t>
      </w:r>
      <w:bookmarkEnd w:id="3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6.1 唯一数据规则</w:t>
      </w:r>
      <w:bookmarkEnd w:id="37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资产编码全局唯一，系统自动生成，不可手动修改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设备SN码、资质编号唯一校验，重复录入弹窗提示冲突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6.2 自动计算规则</w:t>
      </w:r>
      <w:bookmarkEnd w:id="38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固定资产：月折旧金额、累计折旧、资产净值系统自动计算，无需手动录入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无形资产：月摊销金额、累计摊销自动计算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6.3 异常处理机制</w:t>
      </w:r>
      <w:bookmarkEnd w:id="39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审批驳回：自动推送驳回原因，支持发起人修改后重新提交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资产逾期：系统自动标记逾期状态，留存逾期记录，不可手动清除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数据异常：盘点盘盈盘亏、折旧数据异常，系统高亮预警，禁止关闭异常记录，必须人工核验处理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权限越界：无权限用户操作时，弹窗提示“暂无操作权限”，后台记录越界日志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七、日志溯源规则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所有资产操作永久留痕，不可删除，日志包含：操作人、操作时间、操作IP、操作类型、操作前后数据对比、备注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覆盖操作：新增、编辑、领用、归还、调拨、维保、盘点、报废、审批、状态变更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88293">
    <w:lvl>
      <w:numFmt w:val="bullet"/>
      <w:suff w:val="tab"/>
      <w:lvlText w:val="•"/>
      <w:rPr>
        <w:color w:val="3370ff"/>
      </w:rPr>
    </w:lvl>
  </w:abstractNum>
  <w:abstractNum w:abstractNumId="1588294">
    <w:lvl>
      <w:numFmt w:val="bullet"/>
      <w:suff w:val="tab"/>
      <w:lvlText w:val="•"/>
      <w:rPr>
        <w:color w:val="3370ff"/>
      </w:rPr>
    </w:lvl>
  </w:abstractNum>
  <w:abstractNum w:abstractNumId="1588295">
    <w:lvl>
      <w:numFmt w:val="bullet"/>
      <w:suff w:val="tab"/>
      <w:lvlText w:val="•"/>
      <w:rPr>
        <w:color w:val="3370ff"/>
      </w:rPr>
    </w:lvl>
  </w:abstractNum>
  <w:abstractNum w:abstractNumId="1588296">
    <w:lvl>
      <w:numFmt w:val="bullet"/>
      <w:suff w:val="tab"/>
      <w:lvlText w:val="•"/>
      <w:rPr>
        <w:color w:val="3370ff"/>
      </w:rPr>
    </w:lvl>
  </w:abstractNum>
  <w:abstractNum w:abstractNumId="1588297">
    <w:lvl>
      <w:numFmt w:val="bullet"/>
      <w:suff w:val="tab"/>
      <w:lvlText w:val="•"/>
      <w:rPr>
        <w:color w:val="3370ff"/>
      </w:rPr>
    </w:lvl>
  </w:abstractNum>
  <w:abstractNum w:abstractNumId="1588298">
    <w:lvl>
      <w:numFmt w:val="bullet"/>
      <w:suff w:val="tab"/>
      <w:lvlText w:val="•"/>
      <w:rPr>
        <w:color w:val="3370ff"/>
      </w:rPr>
    </w:lvl>
  </w:abstractNum>
  <w:abstractNum w:abstractNumId="1588299">
    <w:lvl>
      <w:numFmt w:val="bullet"/>
      <w:suff w:val="tab"/>
      <w:lvlText w:val="•"/>
      <w:rPr>
        <w:color w:val="3370ff"/>
      </w:rPr>
    </w:lvl>
  </w:abstractNum>
  <w:abstractNum w:abstractNumId="1588300">
    <w:lvl>
      <w:numFmt w:val="bullet"/>
      <w:suff w:val="tab"/>
      <w:lvlText w:val="•"/>
      <w:rPr>
        <w:color w:val="3370ff"/>
      </w:rPr>
    </w:lvl>
  </w:abstractNum>
  <w:abstractNum w:abstractNumId="1588301">
    <w:lvl>
      <w:numFmt w:val="bullet"/>
      <w:suff w:val="tab"/>
      <w:lvlText w:val="•"/>
      <w:rPr>
        <w:color w:val="3370ff"/>
      </w:rPr>
    </w:lvl>
  </w:abstractNum>
  <w:abstractNum w:abstractNumId="1588302">
    <w:lvl>
      <w:numFmt w:val="bullet"/>
      <w:suff w:val="tab"/>
      <w:lvlText w:val="•"/>
      <w:rPr>
        <w:color w:val="3370ff"/>
      </w:rPr>
    </w:lvl>
  </w:abstractNum>
  <w:abstractNum w:abstractNumId="1588303">
    <w:lvl>
      <w:numFmt w:val="bullet"/>
      <w:suff w:val="tab"/>
      <w:lvlText w:val="•"/>
      <w:rPr>
        <w:color w:val="3370ff"/>
      </w:rPr>
    </w:lvl>
  </w:abstractNum>
  <w:abstractNum w:abstractNumId="1588304">
    <w:lvl>
      <w:numFmt w:val="bullet"/>
      <w:suff w:val="tab"/>
      <w:lvlText w:val="•"/>
      <w:rPr>
        <w:color w:val="3370ff"/>
      </w:rPr>
    </w:lvl>
  </w:abstractNum>
  <w:abstractNum w:abstractNumId="1588305">
    <w:lvl>
      <w:numFmt w:val="bullet"/>
      <w:suff w:val="tab"/>
      <w:lvlText w:val="•"/>
      <w:rPr>
        <w:color w:val="3370ff"/>
      </w:rPr>
    </w:lvl>
  </w:abstractNum>
  <w:abstractNum w:abstractNumId="1588306">
    <w:lvl>
      <w:start w:val="1"/>
      <w:numFmt w:val="decimal"/>
      <w:suff w:val="tab"/>
      <w:lvlText w:val="%1."/>
      <w:rPr>
        <w:color w:val="3370ff"/>
      </w:rPr>
    </w:lvl>
  </w:abstractNum>
  <w:abstractNum w:abstractNumId="1588307">
    <w:lvl>
      <w:start w:val="2"/>
      <w:numFmt w:val="decimal"/>
      <w:suff w:val="tab"/>
      <w:lvlText w:val="%1."/>
      <w:rPr>
        <w:color w:val="3370ff"/>
      </w:rPr>
    </w:lvl>
  </w:abstractNum>
  <w:abstractNum w:abstractNumId="1588308">
    <w:lvl>
      <w:start w:val="3"/>
      <w:numFmt w:val="decimal"/>
      <w:suff w:val="tab"/>
      <w:lvlText w:val="%1."/>
      <w:rPr>
        <w:color w:val="3370ff"/>
      </w:rPr>
    </w:lvl>
  </w:abstractNum>
  <w:abstractNum w:abstractNumId="1588309">
    <w:lvl>
      <w:numFmt w:val="bullet"/>
      <w:suff w:val="tab"/>
      <w:lvlText w:val="•"/>
      <w:rPr>
        <w:color w:val="3370ff"/>
      </w:rPr>
    </w:lvl>
  </w:abstractNum>
  <w:abstractNum w:abstractNumId="1588310">
    <w:lvl>
      <w:numFmt w:val="bullet"/>
      <w:suff w:val="tab"/>
      <w:lvlText w:val="•"/>
      <w:rPr>
        <w:color w:val="3370ff"/>
      </w:rPr>
    </w:lvl>
  </w:abstractNum>
  <w:abstractNum w:abstractNumId="1588311">
    <w:lvl>
      <w:numFmt w:val="bullet"/>
      <w:suff w:val="tab"/>
      <w:lvlText w:val="•"/>
      <w:rPr>
        <w:color w:val="3370ff"/>
      </w:rPr>
    </w:lvl>
  </w:abstractNum>
  <w:abstractNum w:abstractNumId="1588312">
    <w:lvl>
      <w:numFmt w:val="bullet"/>
      <w:suff w:val="tab"/>
      <w:lvlText w:val="•"/>
      <w:rPr>
        <w:color w:val="3370ff"/>
      </w:rPr>
    </w:lvl>
  </w:abstractNum>
  <w:abstractNum w:abstractNumId="1588313">
    <w:lvl>
      <w:numFmt w:val="bullet"/>
      <w:suff w:val="tab"/>
      <w:lvlText w:val="•"/>
      <w:rPr>
        <w:color w:val="3370ff"/>
      </w:rPr>
    </w:lvl>
  </w:abstractNum>
  <w:abstractNum w:abstractNumId="1588314">
    <w:lvl>
      <w:numFmt w:val="bullet"/>
      <w:suff w:val="tab"/>
      <w:lvlText w:val="•"/>
      <w:rPr>
        <w:color w:val="3370ff"/>
      </w:rPr>
    </w:lvl>
  </w:abstractNum>
  <w:abstractNum w:abstractNumId="1588315">
    <w:lvl>
      <w:numFmt w:val="bullet"/>
      <w:suff w:val="tab"/>
      <w:lvlText w:val="•"/>
      <w:rPr>
        <w:color w:val="3370ff"/>
      </w:rPr>
    </w:lvl>
  </w:abstractNum>
  <w:abstractNum w:abstractNumId="1588316">
    <w:lvl>
      <w:numFmt w:val="bullet"/>
      <w:suff w:val="tab"/>
      <w:lvlText w:val="•"/>
      <w:rPr>
        <w:color w:val="3370ff"/>
      </w:rPr>
    </w:lvl>
  </w:abstractNum>
  <w:abstractNum w:abstractNumId="1588317">
    <w:lvl>
      <w:numFmt w:val="bullet"/>
      <w:suff w:val="tab"/>
      <w:lvlText w:val="•"/>
      <w:rPr>
        <w:color w:val="3370ff"/>
      </w:rPr>
    </w:lvl>
  </w:abstractNum>
  <w:abstractNum w:abstractNumId="1588318">
    <w:lvl>
      <w:numFmt w:val="bullet"/>
      <w:suff w:val="tab"/>
      <w:lvlText w:val="•"/>
      <w:rPr>
        <w:color w:val="3370ff"/>
      </w:rPr>
    </w:lvl>
  </w:abstractNum>
  <w:abstractNum w:abstractNumId="1588319">
    <w:lvl>
      <w:numFmt w:val="bullet"/>
      <w:suff w:val="tab"/>
      <w:lvlText w:val="•"/>
      <w:rPr>
        <w:color w:val="3370ff"/>
      </w:rPr>
    </w:lvl>
  </w:abstractNum>
  <w:abstractNum w:abstractNumId="1588320">
    <w:lvl>
      <w:numFmt w:val="bullet"/>
      <w:suff w:val="tab"/>
      <w:lvlText w:val="•"/>
      <w:rPr>
        <w:color w:val="3370ff"/>
      </w:rPr>
    </w:lvl>
  </w:abstractNum>
  <w:abstractNum w:abstractNumId="1588321">
    <w:lvl>
      <w:numFmt w:val="bullet"/>
      <w:suff w:val="tab"/>
      <w:lvlText w:val="•"/>
      <w:rPr>
        <w:color w:val="3370ff"/>
      </w:rPr>
    </w:lvl>
  </w:abstractNum>
  <w:abstractNum w:abstractNumId="1588322">
    <w:lvl>
      <w:numFmt w:val="bullet"/>
      <w:suff w:val="tab"/>
      <w:lvlText w:val="•"/>
      <w:rPr>
        <w:color w:val="3370ff"/>
      </w:rPr>
    </w:lvl>
  </w:abstractNum>
  <w:abstractNum w:abstractNumId="1588323">
    <w:lvl>
      <w:numFmt w:val="bullet"/>
      <w:suff w:val="tab"/>
      <w:lvlText w:val="•"/>
      <w:rPr>
        <w:color w:val="3370ff"/>
      </w:rPr>
    </w:lvl>
  </w:abstractNum>
  <w:abstractNum w:abstractNumId="1588324">
    <w:lvl>
      <w:numFmt w:val="bullet"/>
      <w:suff w:val="tab"/>
      <w:lvlText w:val="•"/>
      <w:rPr>
        <w:color w:val="3370ff"/>
      </w:rPr>
    </w:lvl>
  </w:abstractNum>
  <w:abstractNum w:abstractNumId="1588325">
    <w:lvl>
      <w:numFmt w:val="bullet"/>
      <w:suff w:val="tab"/>
      <w:lvlText w:val="•"/>
      <w:rPr>
        <w:color w:val="3370ff"/>
      </w:rPr>
    </w:lvl>
  </w:abstractNum>
  <w:abstractNum w:abstractNumId="1588326">
    <w:lvl>
      <w:numFmt w:val="bullet"/>
      <w:suff w:val="tab"/>
      <w:lvlText w:val="•"/>
      <w:rPr>
        <w:color w:val="3370ff"/>
      </w:rPr>
    </w:lvl>
  </w:abstractNum>
  <w:abstractNum w:abstractNumId="1588327">
    <w:lvl>
      <w:numFmt w:val="bullet"/>
      <w:suff w:val="tab"/>
      <w:lvlText w:val="•"/>
      <w:rPr>
        <w:color w:val="3370ff"/>
      </w:rPr>
    </w:lvl>
  </w:abstractNum>
  <w:abstractNum w:abstractNumId="1588328">
    <w:lvl>
      <w:numFmt w:val="bullet"/>
      <w:suff w:val="tab"/>
      <w:lvlText w:val="•"/>
      <w:rPr>
        <w:color w:val="3370ff"/>
      </w:rPr>
    </w:lvl>
  </w:abstractNum>
  <w:abstractNum w:abstractNumId="1588329">
    <w:lvl>
      <w:numFmt w:val="bullet"/>
      <w:suff w:val="tab"/>
      <w:lvlText w:val="•"/>
      <w:rPr>
        <w:color w:val="3370ff"/>
      </w:rPr>
    </w:lvl>
  </w:abstractNum>
  <w:abstractNum w:abstractNumId="1588330">
    <w:lvl>
      <w:numFmt w:val="bullet"/>
      <w:suff w:val="tab"/>
      <w:lvlText w:val="•"/>
      <w:rPr>
        <w:color w:val="3370ff"/>
      </w:rPr>
    </w:lvl>
  </w:abstractNum>
  <w:abstractNum w:abstractNumId="1588331">
    <w:lvl>
      <w:numFmt w:val="bullet"/>
      <w:suff w:val="tab"/>
      <w:lvlText w:val="•"/>
      <w:rPr>
        <w:color w:val="3370ff"/>
      </w:rPr>
    </w:lvl>
  </w:abstractNum>
  <w:abstractNum w:abstractNumId="1588332">
    <w:lvl>
      <w:numFmt w:val="bullet"/>
      <w:suff w:val="tab"/>
      <w:lvlText w:val="•"/>
      <w:rPr>
        <w:color w:val="3370ff"/>
      </w:rPr>
    </w:lvl>
  </w:abstractNum>
  <w:abstractNum w:abstractNumId="1588333">
    <w:lvl>
      <w:numFmt w:val="bullet"/>
      <w:suff w:val="tab"/>
      <w:lvlText w:val="•"/>
      <w:rPr>
        <w:color w:val="3370ff"/>
      </w:rPr>
    </w:lvl>
  </w:abstractNum>
  <w:abstractNum w:abstractNumId="1588334">
    <w:lvl>
      <w:numFmt w:val="bullet"/>
      <w:suff w:val="tab"/>
      <w:lvlText w:val="•"/>
      <w:rPr>
        <w:color w:val="3370ff"/>
      </w:rPr>
    </w:lvl>
  </w:abstractNum>
  <w:abstractNum w:abstractNumId="1588335">
    <w:lvl>
      <w:numFmt w:val="bullet"/>
      <w:suff w:val="tab"/>
      <w:lvlText w:val="•"/>
      <w:rPr>
        <w:color w:val="3370ff"/>
      </w:rPr>
    </w:lvl>
  </w:abstractNum>
  <w:abstractNum w:abstractNumId="1588336">
    <w:lvl>
      <w:numFmt w:val="bullet"/>
      <w:suff w:val="tab"/>
      <w:lvlText w:val="•"/>
      <w:rPr>
        <w:color w:val="3370ff"/>
      </w:rPr>
    </w:lvl>
  </w:abstractNum>
  <w:abstractNum w:abstractNumId="1588337">
    <w:lvl>
      <w:numFmt w:val="bullet"/>
      <w:suff w:val="tab"/>
      <w:lvlText w:val="•"/>
      <w:rPr>
        <w:color w:val="3370ff"/>
      </w:rPr>
    </w:lvl>
  </w:abstractNum>
  <w:abstractNum w:abstractNumId="1588338">
    <w:lvl>
      <w:numFmt w:val="bullet"/>
      <w:suff w:val="tab"/>
      <w:lvlText w:val="•"/>
      <w:rPr>
        <w:color w:val="3370ff"/>
      </w:rPr>
    </w:lvl>
  </w:abstractNum>
  <w:abstractNum w:abstractNumId="1588339">
    <w:lvl>
      <w:numFmt w:val="bullet"/>
      <w:suff w:val="tab"/>
      <w:lvlText w:val="•"/>
      <w:rPr>
        <w:color w:val="3370ff"/>
      </w:rPr>
    </w:lvl>
  </w:abstractNum>
  <w:abstractNum w:abstractNumId="1588340">
    <w:lvl>
      <w:numFmt w:val="bullet"/>
      <w:suff w:val="tab"/>
      <w:lvlText w:val="•"/>
      <w:rPr>
        <w:color w:val="3370ff"/>
      </w:rPr>
    </w:lvl>
  </w:abstractNum>
  <w:abstractNum w:abstractNumId="1588341">
    <w:lvl>
      <w:numFmt w:val="bullet"/>
      <w:suff w:val="tab"/>
      <w:lvlText w:val="•"/>
      <w:rPr>
        <w:color w:val="3370ff"/>
      </w:rPr>
    </w:lvl>
  </w:abstractNum>
  <w:abstractNum w:abstractNumId="1588342">
    <w:lvl>
      <w:numFmt w:val="bullet"/>
      <w:suff w:val="tab"/>
      <w:lvlText w:val="•"/>
      <w:rPr>
        <w:color w:val="3370ff"/>
      </w:rPr>
    </w:lvl>
  </w:abstractNum>
  <w:abstractNum w:abstractNumId="1588343">
    <w:lvl>
      <w:numFmt w:val="bullet"/>
      <w:suff w:val="tab"/>
      <w:lvlText w:val="•"/>
      <w:rPr>
        <w:color w:val="3370ff"/>
      </w:rPr>
    </w:lvl>
  </w:abstractNum>
  <w:num w:numId="1">
    <w:abstractNumId w:val="1588293"/>
  </w:num>
  <w:num w:numId="2">
    <w:abstractNumId w:val="1588294"/>
  </w:num>
  <w:num w:numId="3">
    <w:abstractNumId w:val="1588295"/>
  </w:num>
  <w:num w:numId="4">
    <w:abstractNumId w:val="1588296"/>
  </w:num>
  <w:num w:numId="5">
    <w:abstractNumId w:val="1588297"/>
  </w:num>
  <w:num w:numId="6">
    <w:abstractNumId w:val="1588298"/>
  </w:num>
  <w:num w:numId="7">
    <w:abstractNumId w:val="1588299"/>
  </w:num>
  <w:num w:numId="8">
    <w:abstractNumId w:val="1588300"/>
  </w:num>
  <w:num w:numId="9">
    <w:abstractNumId w:val="1588301"/>
  </w:num>
  <w:num w:numId="10">
    <w:abstractNumId w:val="1588302"/>
  </w:num>
  <w:num w:numId="11">
    <w:abstractNumId w:val="1588303"/>
  </w:num>
  <w:num w:numId="12">
    <w:abstractNumId w:val="1588304"/>
  </w:num>
  <w:num w:numId="13">
    <w:abstractNumId w:val="1588305"/>
  </w:num>
  <w:num w:numId="14">
    <w:abstractNumId w:val="1588306"/>
  </w:num>
  <w:num w:numId="15">
    <w:abstractNumId w:val="1588307"/>
  </w:num>
  <w:num w:numId="16">
    <w:abstractNumId w:val="1588308"/>
  </w:num>
  <w:num w:numId="17">
    <w:abstractNumId w:val="1588309"/>
  </w:num>
  <w:num w:numId="18">
    <w:abstractNumId w:val="1588310"/>
  </w:num>
  <w:num w:numId="19">
    <w:abstractNumId w:val="1588311"/>
  </w:num>
  <w:num w:numId="20">
    <w:abstractNumId w:val="1588312"/>
  </w:num>
  <w:num w:numId="21">
    <w:abstractNumId w:val="1588313"/>
  </w:num>
  <w:num w:numId="22">
    <w:abstractNumId w:val="1588314"/>
  </w:num>
  <w:num w:numId="23">
    <w:abstractNumId w:val="1588315"/>
  </w:num>
  <w:num w:numId="24">
    <w:abstractNumId w:val="1588316"/>
  </w:num>
  <w:num w:numId="25">
    <w:abstractNumId w:val="1588317"/>
  </w:num>
  <w:num w:numId="26">
    <w:abstractNumId w:val="1588318"/>
  </w:num>
  <w:num w:numId="27">
    <w:abstractNumId w:val="1588319"/>
  </w:num>
  <w:num w:numId="28">
    <w:abstractNumId w:val="1588320"/>
  </w:num>
  <w:num w:numId="29">
    <w:abstractNumId w:val="1588321"/>
  </w:num>
  <w:num w:numId="30">
    <w:abstractNumId w:val="1588322"/>
  </w:num>
  <w:num w:numId="31">
    <w:abstractNumId w:val="1588323"/>
  </w:num>
  <w:num w:numId="32">
    <w:abstractNumId w:val="1588324"/>
  </w:num>
  <w:num w:numId="33">
    <w:abstractNumId w:val="1588325"/>
  </w:num>
  <w:num w:numId="34">
    <w:abstractNumId w:val="1588326"/>
  </w:num>
  <w:num w:numId="35">
    <w:abstractNumId w:val="1588327"/>
  </w:num>
  <w:num w:numId="36">
    <w:abstractNumId w:val="1588328"/>
  </w:num>
  <w:num w:numId="37">
    <w:abstractNumId w:val="1588329"/>
  </w:num>
  <w:num w:numId="38">
    <w:abstractNumId w:val="1588330"/>
  </w:num>
  <w:num w:numId="39">
    <w:abstractNumId w:val="1588331"/>
  </w:num>
  <w:num w:numId="40">
    <w:abstractNumId w:val="1588332"/>
  </w:num>
  <w:num w:numId="41">
    <w:abstractNumId w:val="1588333"/>
  </w:num>
  <w:num w:numId="42">
    <w:abstractNumId w:val="1588334"/>
  </w:num>
  <w:num w:numId="43">
    <w:abstractNumId w:val="1588335"/>
  </w:num>
  <w:num w:numId="44">
    <w:abstractNumId w:val="1588336"/>
  </w:num>
  <w:num w:numId="45">
    <w:abstractNumId w:val="1588337"/>
  </w:num>
  <w:num w:numId="46">
    <w:abstractNumId w:val="1588338"/>
  </w:num>
  <w:num w:numId="47">
    <w:abstractNumId w:val="1588339"/>
  </w:num>
  <w:num w:numId="48">
    <w:abstractNumId w:val="1588340"/>
  </w:num>
  <w:num w:numId="49">
    <w:abstractNumId w:val="1588341"/>
  </w:num>
  <w:num w:numId="50">
    <w:abstractNumId w:val="1588342"/>
  </w:num>
  <w:num w:numId="51">
    <w:abstractNumId w:val="15883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2026-05-29T07:49:54Z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{"Label":"1","ContentProducer":"001191110102MACQD9K64010000","ProduceID":"7645217842633264339","ReservedCode1":"","ContentPropagator":"","PropagateID":"","ReservedCode2":""}</vt:lpwstr>
  </property>
</Properties>
</file>