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b/>
          <w:color w:val="1E3A5F"/>
          <w:sz w:val="44"/>
        </w:rPr>
        <w:t>EV SUPPLY CHAIN RESILIENCE MODEL</w:t>
      </w:r>
    </w:p>
    <w:p>
      <w:pPr>
        <w:spacing w:after="120"/>
        <w:jc w:val="center"/>
      </w:pPr>
      <w:r>
        <w:rPr>
          <w:b/>
          <w:color w:val="2E5F9E"/>
          <w:sz w:val="28"/>
        </w:rPr>
        <w:t>A Hybrid Agent-Based and System Dynamics Simulation</w:t>
      </w:r>
    </w:p>
    <w:p>
      <w:pPr>
        <w:spacing w:after="80"/>
        <w:jc w:val="center"/>
      </w:pPr>
      <w:r>
        <w:rPr>
          <w:i/>
          <w:color w:val="505060"/>
          <w:sz w:val="24"/>
        </w:rPr>
        <w:t>Model Methodology and Supply Chain Structure</w:t>
      </w:r>
    </w:p>
    <w:p/>
    <w:p>
      <w:pPr>
        <w:spacing w:after="60"/>
        <w:jc w:val="center"/>
      </w:pPr>
      <w:r>
        <w:rPr>
          <w:b w:val="0"/>
          <w:sz w:val="22"/>
        </w:rPr>
        <w:t>Queen's University Belfast</w:t>
      </w:r>
    </w:p>
    <w:p>
      <w:pPr>
        <w:spacing w:after="60"/>
        <w:jc w:val="center"/>
      </w:pPr>
      <w:r>
        <w:rPr>
          <w:b w:val="0"/>
          <w:sz w:val="22"/>
        </w:rPr>
        <w:t>Management School</w:t>
      </w:r>
    </w:p>
    <w:p>
      <w:pPr>
        <w:spacing w:after="60"/>
        <w:jc w:val="center"/>
      </w:pPr>
      <w:r>
        <w:rPr>
          <w:b w:val="0"/>
          <w:sz w:val="20"/>
        </w:rPr>
      </w:r>
    </w:p>
    <w:p>
      <w:pPr>
        <w:spacing w:after="60"/>
        <w:jc w:val="center"/>
      </w:pPr>
      <w:r>
        <w:rPr>
          <w:b/>
          <w:color w:val="3586C5"/>
          <w:sz w:val="20"/>
        </w:rPr>
        <w:t>Research focus: UK and Chinese EV Manufacturer Supply Chain Vulnerability</w:t>
      </w:r>
    </w:p>
    <w:p>
      <w:pPr>
        <w:spacing w:after="60"/>
        <w:jc w:val="center"/>
      </w:pPr>
      <w:r>
        <w:rPr>
          <w:b w:val="0"/>
          <w:sz w:val="20"/>
        </w:rPr>
      </w:r>
    </w:p>
    <w:p>
      <w:pPr>
        <w:spacing w:after="60"/>
        <w:jc w:val="center"/>
      </w:pPr>
      <w:r>
        <w:rPr>
          <w:b w:val="0"/>
          <w:sz w:val="18"/>
        </w:rPr>
        <w:t>Model version: 2.0  |  Simulation horizon: 5 years (260 weeks)</w:t>
      </w:r>
    </w:p>
    <w:p>
      <w:pPr>
        <w:spacing w:after="60"/>
        <w:jc w:val="center"/>
      </w:pPr>
      <w:r>
        <w:rPr>
          <w:b w:val="0"/>
          <w:sz w:val="18"/>
        </w:rPr>
        <w:t>Data sources: USGS MCS 2024 · IEA GEO 2024 · BNEF 2023 · Company Annual Reports</w:t>
      </w:r>
    </w:p>
    <w:p>
      <w:r>
        <w:br w:type="page"/>
      </w:r>
    </w:p>
    <w:p>
      <w:pPr>
        <w:keepNext/>
        <w:spacing w:before="280" w:after="120"/>
        <w:pBdr>
          <w:bottom w:val="single" w:sz="6" w:space="4" w:color="2e5f9e"/>
        </w:pBdr>
      </w:pPr>
      <w:r>
        <w:rPr>
          <w:b/>
          <w:color w:val="1E3A5F"/>
          <w:sz w:val="28"/>
        </w:rPr>
        <w:t>ABSTRACT</w:t>
      </w:r>
    </w:p>
    <w:p>
      <w:pPr>
        <w:spacing w:after="100" w:lineRule="auto" w:line="276"/>
        <w:ind w:left="0"/>
      </w:pPr>
      <w:r>
        <w:rPr>
          <w:sz w:val="20"/>
        </w:rPr>
        <w:t>This document describes the methodology of a hybrid Agent-Based Model (ABM) and System Dynamics (SD) simulation of the global electric vehicle (EV) supply chain. The model tracks five critical mineral inputs (lithium, cobalt, graphite, rare earth elements, and silicon carbide wafers), nine battery cell manufacturers, four Tier-1 sub-system suppliers, and seven Original Equipment Manufacturer (OEM) groups over a five-year, 260-week horizon. Two new OEM groups are introduced in this version: a UK-specific group representing Jaguar Land Rover, BMW MINI Oxford and Vauxhall Ellesmere Port; and a disaggregated Chinese tier separating BYD (high vertical integration, lithium iron phosphate chemistry) from other Chinese manufacturers (CATL-dependent, mixed chemistry). The model incorporates ten pre-calibrated shock scenarios drawn from documented historical disruption events, including two new scenarios targeting post-Brexit UK supply chain friction and CATL production concentration risk. The simulation framework is implemented in Python using discrete-time Euler integration and a Leontief production function at each supply chain tier.</w:t>
      </w:r>
    </w:p>
    <w:p>
      <w:pPr>
        <w:keepNext/>
        <w:spacing w:before="200" w:after="120"/>
        <w:pBdr>
          <w:bottom w:val="single" w:sz="6" w:space="4" w:color="2e5f9e"/>
        </w:pBdr>
      </w:pPr>
      <w:r>
        <w:rPr>
          <w:b/>
          <w:color w:val="1E3A5F"/>
          <w:sz w:val="28"/>
        </w:rPr>
        <w:t>CONTENTS</w:t>
      </w:r>
    </w:p>
    <w:p>
      <w:pPr>
        <w:spacing w:after="40"/>
        <w:ind w:left="0"/>
      </w:pPr>
      <w:r>
        <w:rPr>
          <w:b/>
          <w:i w:val="0"/>
          <w:color w:val="2E5F9E"/>
          <w:sz w:val="20"/>
          <w:u w:val="none"/>
        </w:rPr>
        <w:t xml:space="preserve">1.  </w:t>
      </w:r>
      <w:r>
        <w:rPr>
          <w:b w:val="0"/>
          <w:i w:val="0"/>
          <w:sz w:val="20"/>
          <w:u w:val="none"/>
        </w:rPr>
        <w:t>Introduction and Motivation</w:t>
      </w:r>
    </w:p>
    <w:p>
      <w:pPr>
        <w:spacing w:after="40"/>
        <w:ind w:left="0"/>
      </w:pPr>
      <w:r>
        <w:rPr>
          <w:b/>
          <w:i w:val="0"/>
          <w:color w:val="2E5F9E"/>
          <w:sz w:val="20"/>
          <w:u w:val="none"/>
        </w:rPr>
        <w:t xml:space="preserve">2.  </w:t>
      </w:r>
      <w:r>
        <w:rPr>
          <w:b w:val="0"/>
          <w:i w:val="0"/>
          <w:sz w:val="20"/>
          <w:u w:val="none"/>
        </w:rPr>
        <w:t>Theoretical Framework</w:t>
      </w:r>
    </w:p>
    <w:p>
      <w:pPr>
        <w:spacing w:after="40"/>
        <w:ind w:left="283"/>
      </w:pPr>
      <w:r>
        <w:rPr>
          <w:b/>
          <w:i w:val="0"/>
          <w:color w:val="2E5F9E"/>
          <w:sz w:val="20"/>
          <w:u w:val="none"/>
        </w:rPr>
        <w:t xml:space="preserve">2.1  </w:t>
      </w:r>
      <w:r>
        <w:rPr>
          <w:b w:val="0"/>
          <w:i w:val="0"/>
          <w:sz w:val="20"/>
          <w:u w:val="none"/>
        </w:rPr>
        <w:t>Agent-Based Modelling</w:t>
      </w:r>
    </w:p>
    <w:p>
      <w:pPr>
        <w:spacing w:after="40"/>
        <w:ind w:left="283"/>
      </w:pPr>
      <w:r>
        <w:rPr>
          <w:b/>
          <w:i w:val="0"/>
          <w:color w:val="2E5F9E"/>
          <w:sz w:val="20"/>
          <w:u w:val="none"/>
        </w:rPr>
        <w:t xml:space="preserve">2.2  </w:t>
      </w:r>
      <w:r>
        <w:rPr>
          <w:b w:val="0"/>
          <w:i w:val="0"/>
          <w:sz w:val="20"/>
          <w:u w:val="none"/>
        </w:rPr>
        <w:t>System Dynamics</w:t>
      </w:r>
    </w:p>
    <w:p>
      <w:pPr>
        <w:spacing w:after="40"/>
        <w:ind w:left="283"/>
      </w:pPr>
      <w:r>
        <w:rPr>
          <w:b/>
          <w:i w:val="0"/>
          <w:color w:val="2E5F9E"/>
          <w:sz w:val="20"/>
          <w:u w:val="none"/>
        </w:rPr>
        <w:t xml:space="preserve">2.3  </w:t>
      </w:r>
      <w:r>
        <w:rPr>
          <w:b w:val="0"/>
          <w:i w:val="0"/>
          <w:sz w:val="20"/>
          <w:u w:val="none"/>
        </w:rPr>
        <w:t>Hybrid Integration</w:t>
      </w:r>
    </w:p>
    <w:p>
      <w:pPr>
        <w:spacing w:after="40"/>
        <w:ind w:left="0"/>
      </w:pPr>
      <w:r>
        <w:rPr>
          <w:b/>
          <w:i w:val="0"/>
          <w:color w:val="2E5F9E"/>
          <w:sz w:val="20"/>
          <w:u w:val="none"/>
        </w:rPr>
        <w:t xml:space="preserve">3.  </w:t>
      </w:r>
      <w:r>
        <w:rPr>
          <w:b w:val="0"/>
          <w:i w:val="0"/>
          <w:sz w:val="20"/>
          <w:u w:val="none"/>
        </w:rPr>
        <w:t>Supply Chain Structure</w:t>
      </w:r>
    </w:p>
    <w:p>
      <w:pPr>
        <w:spacing w:after="40"/>
        <w:ind w:left="283"/>
      </w:pPr>
      <w:r>
        <w:rPr>
          <w:b/>
          <w:i w:val="0"/>
          <w:color w:val="2E5F9E"/>
          <w:sz w:val="20"/>
          <w:u w:val="none"/>
        </w:rPr>
        <w:t xml:space="preserve">3.1  </w:t>
      </w:r>
      <w:r>
        <w:rPr>
          <w:b w:val="0"/>
          <w:i w:val="0"/>
          <w:sz w:val="20"/>
          <w:u w:val="none"/>
        </w:rPr>
        <w:t>Tier Overview</w:t>
      </w:r>
    </w:p>
    <w:p>
      <w:pPr>
        <w:spacing w:after="40"/>
        <w:ind w:left="283"/>
      </w:pPr>
      <w:r>
        <w:rPr>
          <w:b/>
          <w:i w:val="0"/>
          <w:color w:val="2E5F9E"/>
          <w:sz w:val="20"/>
          <w:u w:val="none"/>
        </w:rPr>
        <w:t xml:space="preserve">3.2  </w:t>
      </w:r>
      <w:r>
        <w:rPr>
          <w:b w:val="0"/>
          <w:i w:val="0"/>
          <w:sz w:val="20"/>
          <w:u w:val="none"/>
        </w:rPr>
        <w:t>Material and Information Flows</w:t>
      </w:r>
    </w:p>
    <w:p>
      <w:pPr>
        <w:spacing w:after="40"/>
        <w:ind w:left="0"/>
      </w:pPr>
      <w:r>
        <w:rPr>
          <w:b/>
          <w:i w:val="0"/>
          <w:color w:val="2E5F9E"/>
          <w:sz w:val="20"/>
          <w:u w:val="none"/>
        </w:rPr>
        <w:t xml:space="preserve">4.  </w:t>
      </w:r>
      <w:r>
        <w:rPr>
          <w:b w:val="0"/>
          <w:i w:val="0"/>
          <w:sz w:val="20"/>
          <w:u w:val="none"/>
        </w:rPr>
        <w:t>Agent Definitions</w:t>
      </w:r>
    </w:p>
    <w:p>
      <w:pPr>
        <w:spacing w:after="40"/>
        <w:ind w:left="283"/>
      </w:pPr>
      <w:r>
        <w:rPr>
          <w:b/>
          <w:i w:val="0"/>
          <w:color w:val="2E5F9E"/>
          <w:sz w:val="20"/>
          <w:u w:val="none"/>
        </w:rPr>
        <w:t xml:space="preserve">4.1  </w:t>
      </w:r>
      <w:r>
        <w:rPr>
          <w:b w:val="0"/>
          <w:i w:val="0"/>
          <w:sz w:val="20"/>
          <w:u w:val="none"/>
        </w:rPr>
        <w:t>Mineral Supplier Agents</w:t>
      </w:r>
    </w:p>
    <w:p>
      <w:pPr>
        <w:spacing w:after="40"/>
        <w:ind w:left="283"/>
      </w:pPr>
      <w:r>
        <w:rPr>
          <w:b/>
          <w:i w:val="0"/>
          <w:color w:val="2E5F9E"/>
          <w:sz w:val="20"/>
          <w:u w:val="none"/>
        </w:rPr>
        <w:t xml:space="preserve">4.2  </w:t>
      </w:r>
      <w:r>
        <w:rPr>
          <w:b w:val="0"/>
          <w:i w:val="0"/>
          <w:sz w:val="20"/>
          <w:u w:val="none"/>
        </w:rPr>
        <w:t>Cell Manufacturer Agents</w:t>
      </w:r>
    </w:p>
    <w:p>
      <w:pPr>
        <w:spacing w:after="40"/>
        <w:ind w:left="283"/>
      </w:pPr>
      <w:r>
        <w:rPr>
          <w:b/>
          <w:i w:val="0"/>
          <w:color w:val="2E5F9E"/>
          <w:sz w:val="20"/>
          <w:u w:val="none"/>
        </w:rPr>
        <w:t xml:space="preserve">4.3  </w:t>
      </w:r>
      <w:r>
        <w:rPr>
          <w:b w:val="0"/>
          <w:i w:val="0"/>
          <w:sz w:val="20"/>
          <w:u w:val="none"/>
        </w:rPr>
        <w:t>Tier-1 Supplier Agents</w:t>
      </w:r>
    </w:p>
    <w:p>
      <w:pPr>
        <w:spacing w:after="40"/>
        <w:ind w:left="283"/>
      </w:pPr>
      <w:r>
        <w:rPr>
          <w:b/>
          <w:i w:val="0"/>
          <w:color w:val="2E5F9E"/>
          <w:sz w:val="20"/>
          <w:u w:val="none"/>
        </w:rPr>
        <w:t xml:space="preserve">4.4  </w:t>
      </w:r>
      <w:r>
        <w:rPr>
          <w:b w:val="0"/>
          <w:i w:val="0"/>
          <w:sz w:val="20"/>
          <w:u w:val="none"/>
        </w:rPr>
        <w:t>OEM Agents</w:t>
      </w:r>
    </w:p>
    <w:p>
      <w:pPr>
        <w:spacing w:after="40"/>
        <w:ind w:left="283"/>
      </w:pPr>
      <w:r>
        <w:rPr>
          <w:b/>
          <w:i w:val="0"/>
          <w:color w:val="2E5F9E"/>
          <w:sz w:val="20"/>
          <w:u w:val="none"/>
        </w:rPr>
        <w:t xml:space="preserve">4.5  </w:t>
      </w:r>
      <w:r>
        <w:rPr>
          <w:b w:val="0"/>
          <w:i w:val="0"/>
          <w:sz w:val="20"/>
          <w:u w:val="none"/>
        </w:rPr>
        <w:t>Market Demand Agents</w:t>
      </w:r>
    </w:p>
    <w:p>
      <w:pPr>
        <w:spacing w:after="40"/>
        <w:ind w:left="0"/>
      </w:pPr>
      <w:r>
        <w:rPr>
          <w:b/>
          <w:i w:val="0"/>
          <w:color w:val="2E5F9E"/>
          <w:sz w:val="20"/>
          <w:u w:val="none"/>
        </w:rPr>
        <w:t xml:space="preserve">5.  </w:t>
      </w:r>
      <w:r>
        <w:rPr>
          <w:b w:val="0"/>
          <w:i w:val="0"/>
          <w:sz w:val="20"/>
          <w:u w:val="none"/>
        </w:rPr>
        <w:t>System Dynamics Layer</w:t>
      </w:r>
    </w:p>
    <w:p>
      <w:pPr>
        <w:spacing w:after="40"/>
        <w:ind w:left="0"/>
      </w:pPr>
      <w:r>
        <w:rPr>
          <w:b/>
          <w:i w:val="0"/>
          <w:color w:val="2E5F9E"/>
          <w:sz w:val="20"/>
          <w:u w:val="none"/>
        </w:rPr>
        <w:t xml:space="preserve">6.  </w:t>
      </w:r>
      <w:r>
        <w:rPr>
          <w:b w:val="0"/>
          <w:i w:val="0"/>
          <w:sz w:val="20"/>
          <w:u w:val="none"/>
        </w:rPr>
        <w:t>Model Parameters</w:t>
      </w:r>
    </w:p>
    <w:p>
      <w:pPr>
        <w:spacing w:after="40"/>
        <w:ind w:left="283"/>
      </w:pPr>
      <w:r>
        <w:rPr>
          <w:b/>
          <w:i w:val="0"/>
          <w:color w:val="2E5F9E"/>
          <w:sz w:val="20"/>
          <w:u w:val="none"/>
        </w:rPr>
        <w:t xml:space="preserve">6.1  </w:t>
      </w:r>
      <w:r>
        <w:rPr>
          <w:b w:val="0"/>
          <w:i w:val="0"/>
          <w:sz w:val="20"/>
          <w:u w:val="none"/>
        </w:rPr>
        <w:t>Critical Minerals</w:t>
      </w:r>
    </w:p>
    <w:p>
      <w:pPr>
        <w:spacing w:after="40"/>
        <w:ind w:left="283"/>
      </w:pPr>
      <w:r>
        <w:rPr>
          <w:b/>
          <w:i w:val="0"/>
          <w:color w:val="2E5F9E"/>
          <w:sz w:val="20"/>
          <w:u w:val="none"/>
        </w:rPr>
        <w:t xml:space="preserve">6.2  </w:t>
      </w:r>
      <w:r>
        <w:rPr>
          <w:b w:val="0"/>
          <w:i w:val="0"/>
          <w:sz w:val="20"/>
          <w:u w:val="none"/>
        </w:rPr>
        <w:t>Battery Cell Manufacturers</w:t>
      </w:r>
    </w:p>
    <w:p>
      <w:pPr>
        <w:spacing w:after="40"/>
        <w:ind w:left="283"/>
      </w:pPr>
      <w:r>
        <w:rPr>
          <w:b/>
          <w:i w:val="0"/>
          <w:color w:val="2E5F9E"/>
          <w:sz w:val="20"/>
          <w:u w:val="none"/>
        </w:rPr>
        <w:t xml:space="preserve">6.3  </w:t>
      </w:r>
      <w:r>
        <w:rPr>
          <w:b w:val="0"/>
          <w:i w:val="0"/>
          <w:sz w:val="20"/>
          <w:u w:val="none"/>
        </w:rPr>
        <w:t>Tier-1 Sub-System Suppliers</w:t>
      </w:r>
    </w:p>
    <w:p>
      <w:pPr>
        <w:spacing w:after="40"/>
        <w:ind w:left="283"/>
      </w:pPr>
      <w:r>
        <w:rPr>
          <w:b/>
          <w:i w:val="0"/>
          <w:color w:val="2E5F9E"/>
          <w:sz w:val="20"/>
          <w:u w:val="none"/>
        </w:rPr>
        <w:t xml:space="preserve">6.4  </w:t>
      </w:r>
      <w:r>
        <w:rPr>
          <w:b w:val="0"/>
          <w:i w:val="0"/>
          <w:sz w:val="20"/>
          <w:u w:val="none"/>
        </w:rPr>
        <w:t>OEM Groups</w:t>
      </w:r>
    </w:p>
    <w:p>
      <w:pPr>
        <w:spacing w:after="40"/>
        <w:ind w:left="283"/>
      </w:pPr>
      <w:r>
        <w:rPr>
          <w:b/>
          <w:i w:val="0"/>
          <w:color w:val="2E5F9E"/>
          <w:sz w:val="20"/>
          <w:u w:val="none"/>
        </w:rPr>
        <w:t xml:space="preserve">6.5  </w:t>
      </w:r>
      <w:r>
        <w:rPr>
          <w:b w:val="0"/>
          <w:i w:val="0"/>
          <w:sz w:val="20"/>
          <w:u w:val="none"/>
        </w:rPr>
        <w:t>Market Demand</w:t>
      </w:r>
    </w:p>
    <w:p>
      <w:pPr>
        <w:spacing w:after="40"/>
        <w:ind w:left="0"/>
      </w:pPr>
      <w:r>
        <w:rPr>
          <w:b/>
          <w:i w:val="0"/>
          <w:color w:val="2E5F9E"/>
          <w:sz w:val="20"/>
          <w:u w:val="none"/>
        </w:rPr>
        <w:t xml:space="preserve">7.  </w:t>
      </w:r>
      <w:r>
        <w:rPr>
          <w:b w:val="0"/>
          <w:i w:val="0"/>
          <w:sz w:val="20"/>
          <w:u w:val="none"/>
        </w:rPr>
        <w:t>UK EV Manufacturers</w:t>
      </w:r>
    </w:p>
    <w:p>
      <w:pPr>
        <w:spacing w:after="40"/>
        <w:ind w:left="0"/>
      </w:pPr>
      <w:r>
        <w:rPr>
          <w:b/>
          <w:i w:val="0"/>
          <w:color w:val="2E5F9E"/>
          <w:sz w:val="20"/>
          <w:u w:val="none"/>
        </w:rPr>
        <w:t xml:space="preserve">8.  </w:t>
      </w:r>
      <w:r>
        <w:rPr>
          <w:b w:val="0"/>
          <w:i w:val="0"/>
          <w:sz w:val="20"/>
          <w:u w:val="none"/>
        </w:rPr>
        <w:t>Chinese EV Manufacturers</w:t>
      </w:r>
    </w:p>
    <w:p>
      <w:pPr>
        <w:spacing w:after="40"/>
        <w:ind w:left="0"/>
      </w:pPr>
      <w:r>
        <w:rPr>
          <w:b/>
          <w:i w:val="0"/>
          <w:color w:val="2E5F9E"/>
          <w:sz w:val="20"/>
          <w:u w:val="none"/>
        </w:rPr>
        <w:t xml:space="preserve">9.  </w:t>
      </w:r>
      <w:r>
        <w:rPr>
          <w:b w:val="0"/>
          <w:i w:val="0"/>
          <w:sz w:val="20"/>
          <w:u w:val="none"/>
        </w:rPr>
        <w:t>Shock Scenarios</w:t>
      </w:r>
    </w:p>
    <w:p>
      <w:pPr>
        <w:spacing w:after="40"/>
        <w:ind w:left="0"/>
      </w:pPr>
      <w:r>
        <w:rPr>
          <w:b/>
          <w:i w:val="0"/>
          <w:color w:val="2E5F9E"/>
          <w:sz w:val="20"/>
          <w:u w:val="none"/>
        </w:rPr>
        <w:t xml:space="preserve">10.  </w:t>
      </w:r>
      <w:r>
        <w:rPr>
          <w:b w:val="0"/>
          <w:i w:val="0"/>
          <w:sz w:val="20"/>
          <w:u w:val="none"/>
        </w:rPr>
        <w:t>Model Calibration and Validation</w:t>
      </w:r>
    </w:p>
    <w:p>
      <w:pPr>
        <w:spacing w:after="40"/>
        <w:ind w:left="0"/>
      </w:pPr>
      <w:r>
        <w:rPr>
          <w:b/>
          <w:i w:val="0"/>
          <w:color w:val="2E5F9E"/>
          <w:sz w:val="20"/>
          <w:u w:val="none"/>
        </w:rPr>
        <w:t xml:space="preserve">11.  </w:t>
      </w:r>
      <w:r>
        <w:rPr>
          <w:b w:val="0"/>
          <w:i w:val="0"/>
          <w:sz w:val="20"/>
          <w:u w:val="none"/>
        </w:rPr>
        <w:t>Limitations and Future Work</w:t>
      </w:r>
    </w:p>
    <w:p>
      <w:pPr>
        <w:spacing w:after="40"/>
        <w:ind w:left="0"/>
      </w:pPr>
      <w:r>
        <w:rPr>
          <w:b/>
          <w:i w:val="0"/>
          <w:color w:val="2E5F9E"/>
          <w:sz w:val="20"/>
          <w:u w:val="none"/>
        </w:rPr>
        <w:t xml:space="preserve">12.  </w:t>
      </w:r>
      <w:r>
        <w:rPr>
          <w:b w:val="0"/>
          <w:i w:val="0"/>
          <w:sz w:val="20"/>
          <w:u w:val="none"/>
        </w:rPr>
        <w:t>References</w:t>
      </w:r>
    </w:p>
    <w:p>
      <w:r>
        <w:br w:type="page"/>
      </w:r>
    </w:p>
    <w:p>
      <w:pPr>
        <w:keepNext/>
        <w:spacing w:before="280" w:after="120"/>
        <w:pBdr>
          <w:bottom w:val="single" w:sz="6" w:space="4" w:color="2e5f9e"/>
        </w:pBdr>
      </w:pPr>
      <w:r>
        <w:rPr>
          <w:b/>
          <w:color w:val="1E3A5F"/>
          <w:sz w:val="28"/>
        </w:rPr>
        <w:t>1.  INTRODUCTION AND MOTIVATION</w:t>
      </w:r>
    </w:p>
    <w:p>
      <w:pPr>
        <w:spacing w:after="100" w:lineRule="auto" w:line="276"/>
        <w:ind w:left="0"/>
      </w:pPr>
      <w:r>
        <w:rPr>
          <w:sz w:val="20"/>
        </w:rPr>
        <w:t>The transition to battery electric vehicles (BEVs) is reshaping global industrial supply chains in ways that are structurally distinct from conventional automotive production. Unlike internal combustion engine vehicles, BEVs depend heavily on geographically concentrated critical mineral inputs — lithium from Australia and Chile, cobalt from the Democratic Republic of Congo, graphite and rare earth elements predominantly processed in China — and on a battery cell manufacturing sector dominated by a small number of Asian producers. This concentration of supply creates systemic vulnerabilities that propagate non-linearly through multi-tier supply chains.</w:t>
      </w:r>
    </w:p>
    <w:p>
      <w:pPr>
        <w:spacing w:after="100" w:lineRule="auto" w:line="276"/>
        <w:ind w:left="0"/>
      </w:pPr>
      <w:r>
        <w:rPr>
          <w:sz w:val="20"/>
        </w:rPr>
        <w:t>Existing analytical approaches (linear input-output models, static risk indices) fail to capture the dynamic feedback mechanisms — inventory build-up, bullwhip amplification, dual-sourcing responses, gradual recovery — that determine how a shock at one tier propagates to vehicle production weeks or months later. This model addresses that gap by combining the heterogeneous firm-level decision rules of Agent-Based Modelling with the aggregate stock-and-flow accounting of System Dynamics.</w:t>
      </w:r>
    </w:p>
    <w:p>
      <w:pPr>
        <w:spacing w:after="100" w:lineRule="auto" w:line="276"/>
        <w:ind w:left="0"/>
      </w:pPr>
      <w:r>
        <w:rPr>
          <w:sz w:val="20"/>
        </w:rPr>
        <w:t>The model is calibrated to 2023 production data and parameterised from publicly available sources including USGS Mineral Commodity Summaries 2024, IEA Global EV Outlook 2024, BloombergNEF Battery Price Survey 2023, Yole Intelligence Power Electronics Market Report 2023, and individual company annual reports. It is designed to support scenario analysis of supply chain resilience for EV manufacturers, with particular focus on the differential vulnerabilities of UK-based and Chinese-based producers.</w:t>
      </w:r>
    </w:p>
    <w:p>
      <w:pPr>
        <w:keepNext/>
        <w:spacing w:before="280" w:after="120"/>
        <w:pBdr>
          <w:bottom w:val="single" w:sz="6" w:space="4" w:color="2e5f9e"/>
        </w:pBdr>
      </w:pPr>
      <w:r>
        <w:rPr>
          <w:b/>
          <w:color w:val="1E3A5F"/>
          <w:sz w:val="28"/>
        </w:rPr>
        <w:t>2.  THEORETICAL FRAMEWORK</w:t>
      </w:r>
    </w:p>
    <w:p>
      <w:pPr>
        <w:keepNext/>
        <w:spacing w:before="280" w:after="120"/>
      </w:pPr>
      <w:r>
        <w:rPr>
          <w:b/>
          <w:color w:val="2E5F9E"/>
          <w:sz w:val="23"/>
        </w:rPr>
        <w:t>2.1  Agent-Based Modelling</w:t>
      </w:r>
    </w:p>
    <w:p>
      <w:pPr>
        <w:spacing w:after="100" w:lineRule="auto" w:line="276"/>
        <w:ind w:left="0"/>
      </w:pPr>
      <w:r>
        <w:rPr>
          <w:sz w:val="20"/>
        </w:rPr>
        <w:t>Agent-Based Modelling (ABM) represents a system as a collection of autonomous, heterogeneous agents that each follow decision rules and interact with one another and their environment (Bonabeau, 2002; Tesfatsion and Judd, 2006). The approach is well-suited to supply chain analysis because it can represent firm-level variation in inventory policy, sourcing strategy, chemistry choice, and vertical integration — factors that are suppressed in aggregate models. Key ABM properties exploited here include: bounded rationality (agents use heuristic order-up-to rules rather than global optimisation); heterogeneity (CATL and BYD Cells differ in chemistry mix, capacity, and recovery rate); and emergence (global production losses arise from local inventory and ordering decisions without being explicitly programmed).</w:t>
      </w:r>
    </w:p>
    <w:p>
      <w:pPr>
        <w:keepNext/>
        <w:spacing w:before="280" w:after="120"/>
      </w:pPr>
      <w:r>
        <w:rPr>
          <w:b/>
          <w:color w:val="2E5F9E"/>
          <w:sz w:val="23"/>
        </w:rPr>
        <w:t>2.2  System Dynamics</w:t>
      </w:r>
    </w:p>
    <w:p>
      <w:pPr>
        <w:spacing w:after="100" w:lineRule="auto" w:line="276"/>
        <w:ind w:left="0"/>
      </w:pPr>
      <w:r>
        <w:rPr>
          <w:sz w:val="20"/>
        </w:rPr>
        <w:t>System Dynamics (SD) models a system through stocks (accumulations) and flows (rates of change), connected by feedback loops (Forrester, 1961; Sterman, 2000). The SD layer in this model provides aggregate inventory accounting across five mineral stocks and five component stocks. Stocks are integrated using the discrete-time Euler method with a weekly time step (dt = 1 week). The key SD variable exposed to ABM agents is the input_fraction: the ratio of current stock to target (safety-stock) level. When input_fraction &lt; 1, the corresponding downstream agents face a Leontief constraint on their production.</w:t>
      </w:r>
    </w:p>
    <w:p>
      <w:pPr>
        <w:keepNext/>
        <w:spacing w:before="280" w:after="120"/>
      </w:pPr>
      <w:r>
        <w:rPr>
          <w:b/>
          <w:color w:val="2E5F9E"/>
          <w:sz w:val="23"/>
        </w:rPr>
        <w:t>2.3  Hybrid Integration</w:t>
      </w:r>
    </w:p>
    <w:p>
      <w:pPr>
        <w:spacing w:after="100" w:lineRule="auto" w:line="276"/>
        <w:ind w:left="0"/>
      </w:pPr>
      <w:r>
        <w:rPr>
          <w:sz w:val="20"/>
        </w:rPr>
        <w:t>The hybrid architecture follows the pattern described by Größler et al. (2008) and Schieritz and Größler (2003): the SD layer provides aggregate state signals that coordinate ABM agents, while agent outputs determine SD flows. The coupling is one-way within each time step (SD informs agents; agents then update SD) but bi-directional across time steps, creating endogenous feedback. This avoids the double-counting risk of fully simultaneous coupling while preserving meaningful dynamic feedbacks.</w:t>
      </w:r>
    </w:p>
    <w:p>
      <w:pPr>
        <w:spacing w:after="100" w:lineRule="auto" w:line="276"/>
        <w:ind w:left="0"/>
      </w:pPr>
      <w:r>
        <w:rPr>
          <w:sz w:val="20"/>
        </w:rPr>
        <w:t>The weekly execution sequence is: (1) apply any scheduled shocks; (2) SD computes input fractions from current stocks; (3) mineral agents step; (4) cell manufacturer agents step; (5) Tier-1 supplier agents step; (6) OEM agents step; (7) market demand agents step; (8) aggregate agent outputs into SD flows; (9) SD updates stocks via Euler integration; (10) record metrics.</w:t>
      </w:r>
    </w:p>
    <w:p>
      <w:pPr>
        <w:keepNext/>
        <w:spacing w:before="280" w:after="120"/>
        <w:pBdr>
          <w:bottom w:val="single" w:sz="6" w:space="4" w:color="2e5f9e"/>
        </w:pBdr>
      </w:pPr>
      <w:r>
        <w:rPr>
          <w:b/>
          <w:color w:val="1E3A5F"/>
          <w:sz w:val="28"/>
        </w:rPr>
        <w:t>3.  SUPPLY CHAIN STRUCTURE</w:t>
      </w:r>
    </w:p>
    <w:p>
      <w:pPr>
        <w:keepNext/>
        <w:spacing w:before="280" w:after="120"/>
      </w:pPr>
      <w:r>
        <w:rPr>
          <w:b/>
          <w:color w:val="2E5F9E"/>
          <w:sz w:val="23"/>
        </w:rPr>
        <w:t>3.1  Tier Overview</w:t>
      </w:r>
    </w:p>
    <w:p>
      <w:pPr>
        <w:spacing w:after="100" w:lineRule="auto" w:line="276"/>
        <w:ind w:left="0"/>
      </w:pPr>
      <w:r>
        <w:rPr>
          <w:sz w:val="20"/>
        </w:rPr>
        <w:t>The model represents the EV supply chain as five tiers arranged vertically, with physical material flowing downward (from minerals to finished vehicles) and information signals (demand, price pressure) flowing upward. Each tier contains one or more agents that transform inputs from the tier above into outputs consumed by the tier below.</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2e5f9e"/>
            <w:vAlign w:val="center"/>
          </w:tcPr>
          <w:p>
            <w:pPr>
              <w:jc w:val="center"/>
            </w:pPr>
            <w:r>
              <w:rPr>
                <w:b/>
                <w:color w:val="FFFFFF"/>
                <w:sz w:val="18"/>
              </w:rPr>
              <w:t>Tier</w:t>
            </w:r>
          </w:p>
        </w:tc>
        <w:tc>
          <w:tcPr>
            <w:tcW w:type="dxa" w:w="1587"/>
            <w:shd w:val="clear" w:color="auto" w:fill="2e5f9e"/>
            <w:vAlign w:val="center"/>
          </w:tcPr>
          <w:p>
            <w:pPr>
              <w:jc w:val="center"/>
            </w:pPr>
            <w:r>
              <w:rPr>
                <w:b/>
                <w:color w:val="FFFFFF"/>
                <w:sz w:val="18"/>
              </w:rPr>
              <w:t>Layer</w:t>
            </w:r>
          </w:p>
        </w:tc>
        <w:tc>
          <w:tcPr>
            <w:tcW w:type="dxa" w:w="3118"/>
            <w:shd w:val="clear" w:color="auto" w:fill="2e5f9e"/>
            <w:vAlign w:val="center"/>
          </w:tcPr>
          <w:p>
            <w:pPr>
              <w:jc w:val="center"/>
            </w:pPr>
            <w:r>
              <w:rPr>
                <w:b/>
                <w:color w:val="FFFFFF"/>
                <w:sz w:val="18"/>
              </w:rPr>
              <w:t>Agents Modelled</w:t>
            </w:r>
          </w:p>
        </w:tc>
        <w:tc>
          <w:tcPr>
            <w:tcW w:type="dxa" w:w="1984"/>
            <w:shd w:val="clear" w:color="auto" w:fill="2e5f9e"/>
            <w:vAlign w:val="center"/>
          </w:tcPr>
          <w:p>
            <w:pPr>
              <w:jc w:val="center"/>
            </w:pPr>
            <w:r>
              <w:rPr>
                <w:b/>
                <w:color w:val="FFFFFF"/>
                <w:sz w:val="18"/>
              </w:rPr>
              <w:t>Key Output</w:t>
            </w:r>
          </w:p>
        </w:tc>
        <w:tc>
          <w:tcPr>
            <w:tcW w:type="dxa" w:w="1134"/>
            <w:shd w:val="clear" w:color="auto" w:fill="2e5f9e"/>
            <w:vAlign w:val="center"/>
          </w:tcPr>
          <w:p>
            <w:pPr>
              <w:jc w:val="center"/>
            </w:pPr>
            <w:r>
              <w:rPr>
                <w:b/>
                <w:color w:val="FFFFFF"/>
                <w:sz w:val="18"/>
              </w:rPr>
              <w:t>Units</w:t>
            </w:r>
          </w:p>
        </w:tc>
      </w:tr>
      <w:tr>
        <w:tc>
          <w:tcPr>
            <w:tcW w:type="dxa" w:w="1814"/>
            <w:shd w:val="clear" w:color="auto" w:fill="f0f4f8"/>
          </w:tcPr>
          <w:p>
            <w:r>
              <w:rPr>
                <w:b/>
                <w:sz w:val="18"/>
              </w:rPr>
              <w:t>0</w:t>
            </w:r>
          </w:p>
        </w:tc>
        <w:tc>
          <w:tcPr>
            <w:tcW w:type="dxa" w:w="1814"/>
            <w:shd w:val="clear" w:color="auto" w:fill="f0f4f8"/>
          </w:tcPr>
          <w:p>
            <w:r>
              <w:rPr>
                <w:sz w:val="18"/>
              </w:rPr>
              <w:t>Raw Materials / Minerals</w:t>
            </w:r>
          </w:p>
        </w:tc>
        <w:tc>
          <w:tcPr>
            <w:tcW w:type="dxa" w:w="1814"/>
            <w:shd w:val="clear" w:color="auto" w:fill="f0f4f8"/>
          </w:tcPr>
          <w:p>
            <w:r>
              <w:rPr>
                <w:sz w:val="18"/>
              </w:rPr>
              <w:t>17 MineralSupplierAgents across 5 minerals and multiple countries</w:t>
            </w:r>
          </w:p>
        </w:tc>
        <w:tc>
          <w:tcPr>
            <w:tcW w:type="dxa" w:w="1814"/>
            <w:shd w:val="clear" w:color="auto" w:fill="f0f4f8"/>
          </w:tcPr>
          <w:p>
            <w:r>
              <w:rPr>
                <w:sz w:val="18"/>
              </w:rPr>
              <w:t>Weekly supply fraction of each mineral</w:t>
            </w:r>
          </w:p>
        </w:tc>
        <w:tc>
          <w:tcPr>
            <w:tcW w:type="dxa" w:w="1814"/>
            <w:shd w:val="clear" w:color="auto" w:fill="f0f4f8"/>
          </w:tcPr>
          <w:p>
            <w:r>
              <w:rPr>
                <w:sz w:val="18"/>
              </w:rPr>
              <w:t>Fraction (0–1)</w:t>
            </w:r>
          </w:p>
        </w:tc>
      </w:tr>
      <w:tr>
        <w:tc>
          <w:tcPr>
            <w:tcW w:type="dxa" w:w="1814"/>
          </w:tcPr>
          <w:p>
            <w:r>
              <w:rPr>
                <w:b/>
                <w:sz w:val="18"/>
              </w:rPr>
              <w:t>1</w:t>
            </w:r>
          </w:p>
        </w:tc>
        <w:tc>
          <w:tcPr>
            <w:tcW w:type="dxa" w:w="1814"/>
          </w:tcPr>
          <w:p>
            <w:r>
              <w:rPr>
                <w:sz w:val="18"/>
              </w:rPr>
              <w:t>Battery Cell Manufacturing</w:t>
            </w:r>
          </w:p>
        </w:tc>
        <w:tc>
          <w:tcPr>
            <w:tcW w:type="dxa" w:w="1814"/>
          </w:tcPr>
          <w:p>
            <w:r>
              <w:rPr>
                <w:sz w:val="18"/>
              </w:rPr>
              <w:t>9 CellManufacturerAgents (CATL, BYD Cells, LG ES, Panasonic, Samsung SDI, SK On, CALB, AESC UK, Others)</w:t>
            </w:r>
          </w:p>
        </w:tc>
        <w:tc>
          <w:tcPr>
            <w:tcW w:type="dxa" w:w="1814"/>
          </w:tcPr>
          <w:p>
            <w:r>
              <w:rPr>
                <w:sz w:val="18"/>
              </w:rPr>
              <w:t>Cell energy production</w:t>
            </w:r>
          </w:p>
        </w:tc>
        <w:tc>
          <w:tcPr>
            <w:tcW w:type="dxa" w:w="1814"/>
          </w:tcPr>
          <w:p>
            <w:r>
              <w:rPr>
                <w:sz w:val="18"/>
              </w:rPr>
              <w:t>GWh / week</w:t>
            </w:r>
          </w:p>
        </w:tc>
      </w:tr>
      <w:tr>
        <w:tc>
          <w:tcPr>
            <w:tcW w:type="dxa" w:w="1814"/>
            <w:shd w:val="clear" w:color="auto" w:fill="f0f4f8"/>
          </w:tcPr>
          <w:p>
            <w:r>
              <w:rPr>
                <w:b/>
                <w:sz w:val="18"/>
              </w:rPr>
              <w:t>2</w:t>
            </w:r>
          </w:p>
        </w:tc>
        <w:tc>
          <w:tcPr>
            <w:tcW w:type="dxa" w:w="1814"/>
            <w:shd w:val="clear" w:color="auto" w:fill="f0f4f8"/>
          </w:tcPr>
          <w:p>
            <w:r>
              <w:rPr>
                <w:sz w:val="18"/>
              </w:rPr>
              <w:t>Tier-1 Sub-System Suppliers</w:t>
            </w:r>
          </w:p>
        </w:tc>
        <w:tc>
          <w:tcPr>
            <w:tcW w:type="dxa" w:w="1814"/>
            <w:shd w:val="clear" w:color="auto" w:fill="f0f4f8"/>
          </w:tcPr>
          <w:p>
            <w:r>
              <w:rPr>
                <w:sz w:val="18"/>
              </w:rPr>
              <w:t>4 Tier1SupplierAgents (battery pack, inverter, motor, harness)</w:t>
            </w:r>
          </w:p>
        </w:tc>
        <w:tc>
          <w:tcPr>
            <w:tcW w:type="dxa" w:w="1814"/>
            <w:shd w:val="clear" w:color="auto" w:fill="f0f4f8"/>
          </w:tcPr>
          <w:p>
            <w:r>
              <w:rPr>
                <w:sz w:val="18"/>
              </w:rPr>
              <w:t>Component units for OEM assembly</w:t>
            </w:r>
          </w:p>
        </w:tc>
        <w:tc>
          <w:tcPr>
            <w:tcW w:type="dxa" w:w="1814"/>
            <w:shd w:val="clear" w:color="auto" w:fill="f0f4f8"/>
          </w:tcPr>
          <w:p>
            <w:r>
              <w:rPr>
                <w:sz w:val="18"/>
              </w:rPr>
              <w:t>k vehicle-equivalents / week</w:t>
            </w:r>
          </w:p>
        </w:tc>
      </w:tr>
      <w:tr>
        <w:tc>
          <w:tcPr>
            <w:tcW w:type="dxa" w:w="1814"/>
          </w:tcPr>
          <w:p>
            <w:r>
              <w:rPr>
                <w:b/>
                <w:sz w:val="18"/>
              </w:rPr>
              <w:t>3</w:t>
            </w:r>
          </w:p>
        </w:tc>
        <w:tc>
          <w:tcPr>
            <w:tcW w:type="dxa" w:w="1814"/>
          </w:tcPr>
          <w:p>
            <w:r>
              <w:rPr>
                <w:sz w:val="18"/>
              </w:rPr>
              <w:t>OEM Assembly</w:t>
            </w:r>
          </w:p>
        </w:tc>
        <w:tc>
          <w:tcPr>
            <w:tcW w:type="dxa" w:w="1814"/>
          </w:tcPr>
          <w:p>
            <w:r>
              <w:rPr>
                <w:sz w:val="18"/>
              </w:rPr>
              <w:t>7 OEMAgents (BYD, Other Chinese, UK, US, European, Korean, Japanese)</w:t>
            </w:r>
          </w:p>
        </w:tc>
        <w:tc>
          <w:tcPr>
            <w:tcW w:type="dxa" w:w="1814"/>
          </w:tcPr>
          <w:p>
            <w:r>
              <w:rPr>
                <w:sz w:val="18"/>
              </w:rPr>
              <w:t>Finished vehicles assembled</w:t>
            </w:r>
          </w:p>
        </w:tc>
        <w:tc>
          <w:tcPr>
            <w:tcW w:type="dxa" w:w="1814"/>
          </w:tcPr>
          <w:p>
            <w:r>
              <w:rPr>
                <w:sz w:val="18"/>
              </w:rPr>
              <w:t>k vehicles / week</w:t>
            </w:r>
          </w:p>
        </w:tc>
      </w:tr>
      <w:tr>
        <w:tc>
          <w:tcPr>
            <w:tcW w:type="dxa" w:w="1814"/>
            <w:shd w:val="clear" w:color="auto" w:fill="f0f4f8"/>
          </w:tcPr>
          <w:p>
            <w:r>
              <w:rPr>
                <w:b/>
                <w:sz w:val="18"/>
              </w:rPr>
              <w:t>4</w:t>
            </w:r>
          </w:p>
        </w:tc>
        <w:tc>
          <w:tcPr>
            <w:tcW w:type="dxa" w:w="1814"/>
            <w:shd w:val="clear" w:color="auto" w:fill="f0f4f8"/>
          </w:tcPr>
          <w:p>
            <w:r>
              <w:rPr>
                <w:sz w:val="18"/>
              </w:rPr>
              <w:t>End Markets</w:t>
            </w:r>
          </w:p>
        </w:tc>
        <w:tc>
          <w:tcPr>
            <w:tcW w:type="dxa" w:w="1814"/>
            <w:shd w:val="clear" w:color="auto" w:fill="f0f4f8"/>
          </w:tcPr>
          <w:p>
            <w:r>
              <w:rPr>
                <w:sz w:val="18"/>
              </w:rPr>
              <w:t>6 MarketAgents (China, Europe, UK, USA, Japan, Rest of World)</w:t>
            </w:r>
          </w:p>
        </w:tc>
        <w:tc>
          <w:tcPr>
            <w:tcW w:type="dxa" w:w="1814"/>
            <w:shd w:val="clear" w:color="auto" w:fill="f0f4f8"/>
          </w:tcPr>
          <w:p>
            <w:r>
              <w:rPr>
                <w:sz w:val="18"/>
              </w:rPr>
              <w:t>Weekly EV demand signal</w:t>
            </w:r>
          </w:p>
        </w:tc>
        <w:tc>
          <w:tcPr>
            <w:tcW w:type="dxa" w:w="1814"/>
            <w:shd w:val="clear" w:color="auto" w:fill="f0f4f8"/>
          </w:tcPr>
          <w:p>
            <w:r>
              <w:rPr>
                <w:sz w:val="18"/>
              </w:rPr>
              <w:t>GWh or k vehicles / week</w:t>
            </w:r>
          </w:p>
        </w:tc>
      </w:tr>
    </w:tbl>
    <w:p>
      <w:pPr>
        <w:spacing w:before="80" w:after="240"/>
        <w:jc w:val="center"/>
      </w:pPr>
      <w:r>
        <w:rPr>
          <w:i/>
          <w:color w:val="606070"/>
          <w:sz w:val="18"/>
        </w:rPr>
        <w:t>Table 1. Supply chain tier structure. Each tier contains heterogeneous agents with distinct decision rules, chemistry profiles, and sourcing strategies.</w:t>
      </w:r>
    </w:p>
    <w:p>
      <w:pPr>
        <w:keepNext/>
        <w:spacing w:before="280" w:after="120"/>
      </w:pPr>
      <w:r>
        <w:rPr>
          <w:b/>
          <w:color w:val="2E5F9E"/>
          <w:sz w:val="23"/>
        </w:rPr>
        <w:t>3.2  Material and Information Flows</w:t>
      </w:r>
    </w:p>
    <w:p>
      <w:pPr>
        <w:spacing w:after="100" w:lineRule="auto" w:line="276"/>
        <w:ind w:left="0"/>
      </w:pPr>
      <w:r>
        <w:rPr>
          <w:sz w:val="20"/>
        </w:rPr>
        <w:t>Figure 1 (below) illustrates the five-tier structure and the principal flows between tiers. Physical material flows are shown with solid arrows; the price/availability signal propagated upward from the System Dynamics layer is shown with a dashed arrow. The key structural features are:</w:t>
      </w:r>
    </w:p>
    <w:p>
      <w:pPr>
        <w:pStyle w:val="ListBullet"/>
        <w:spacing w:after="60"/>
        <w:ind w:left="340"/>
      </w:pPr>
      <w:r>
        <w:rPr>
          <w:sz w:val="20"/>
        </w:rPr>
        <w:t>Mineral concentration bottlenecks: three of the five critical minerals have &gt;70% supply concentration in a single country (cobalt: DRC 70%; graphite: China 79%; REE: China 85% processing). These nodes are the primary shock entry points in the model.</w:t>
      </w:r>
    </w:p>
    <w:p>
      <w:pPr>
        <w:pStyle w:val="ListBullet"/>
        <w:spacing w:after="60"/>
        <w:ind w:left="340"/>
      </w:pPr>
      <w:r>
        <w:rPr>
          <w:sz w:val="20"/>
        </w:rPr>
        <w:t>Chemistry-based cobalt immunity: lithium iron phosphate (LFP) cell chemistry requires no cobalt. CATL (45% LFP), BYD Cells (90% LFP), and CALB (80% LFP) are therefore partially or fully immune to DRC cobalt shocks, while LG ES, Panasonic, Samsung SDI and SK On (all &gt;95% NMC/NCA) are fully exposed.</w:t>
      </w:r>
    </w:p>
    <w:p>
      <w:pPr>
        <w:pStyle w:val="ListBullet"/>
        <w:spacing w:after="60"/>
        <w:ind w:left="340"/>
      </w:pPr>
      <w:r>
        <w:rPr>
          <w:sz w:val="20"/>
        </w:rPr>
        <w:t>JIT harness vulnerability: wiring harnesses are produced under just-in-time logistics with only 2 weeks of safety stock. Ukraine supplied approximately 30% of EU harness production through plants operated by Leoni AG prior to February 2022 (Leoni AG, 2022).</w:t>
      </w:r>
    </w:p>
    <w:p>
      <w:pPr>
        <w:pStyle w:val="ListBullet"/>
        <w:spacing w:after="60"/>
        <w:ind w:left="340"/>
      </w:pPr>
      <w:r>
        <w:rPr>
          <w:sz w:val="20"/>
        </w:rPr>
        <w:t>SiC inverter lead time: silicon carbide wafer supply is subject to a 16-week inverter manufacturing lead time and 12-week strategic safety stock, reflecting the extended qualification times for SiC MOSFET modules.</w:t>
      </w:r>
    </w:p>
    <w:p>
      <w:pPr>
        <w:pStyle w:val="ListBullet"/>
        <w:spacing w:after="60"/>
        <w:ind w:left="340"/>
      </w:pPr>
      <w:r>
        <w:rPr>
          <w:sz w:val="20"/>
        </w:rPr>
        <w:t>Vertical integration asymmetry: BYD's near-complete vertical integration (95%) insulates it from external cell supply shocks, whereas the UK OEM group operates with minimal domestic cell supply (AESC Sunderland provides approximately 0.2% of global cell capacity).</w:t>
      </w:r>
    </w:p>
    <w:p>
      <w:pPr>
        <w:spacing w:after="100" w:lineRule="auto" w:line="276"/>
        <w:ind w:left="0"/>
      </w:pPr>
      <w:r>
        <w:rPr>
          <w:sz w:val="20"/>
        </w:rPr>
      </w:r>
    </w:p>
    <w:p>
      <w:pPr>
        <w:spacing w:before="120" w:after="80"/>
        <w:jc w:val="center"/>
      </w:pPr>
    </w:p>
    <w:tbl>
      <w:tblPr>
        <w:tblStyle w:val="TableGrid"/>
        <w:tblW w:type="auto" w:w="0"/>
        <w:jc w:val="center"/>
        <w:tblLook w:firstColumn="1" w:firstRow="1" w:lastColumn="0" w:lastRow="0" w:noHBand="0" w:noVBand="1" w:val="04A0"/>
      </w:tblPr>
      <w:tblGrid>
        <w:gridCol w:w="9072"/>
      </w:tblGrid>
      <w:tr>
        <w:tc>
          <w:tcPr>
            <w:tcW w:type="dxa" w:w="8787"/>
            <w:shd w:val="clear" w:color="auto" w:fill="2e5f9e"/>
            <w:vAlign w:val="center"/>
            <w:shd w:val="clear" w:color="auto" w:fill="1e3a5f"/>
          </w:tcPr>
          <w:p>
            <w:pPr>
              <w:jc w:val="center"/>
            </w:pPr>
            <w:r>
              <w:rPr>
                <w:b/>
                <w:color w:val="FFFFFF"/>
                <w:sz w:val="22"/>
              </w:rPr>
              <w:t>Supply Chain Flow — EV Battery Electric Vehicle</w:t>
            </w:r>
          </w:p>
        </w:tc>
      </w:tr>
      <w:tr>
        <w:tc>
          <w:tcPr>
            <w:tcW w:type="dxa" w:w="9072"/>
            <w:shd w:val="clear" w:color="auto" w:fill="1e3a5f"/>
          </w:tcPr>
          <w:p>
            <w:r>
              <w:rPr>
                <w:rFonts w:ascii="Courier New" w:hAnsi="Courier New"/>
                <w:b/>
                <w:color w:val="FFFFFF"/>
                <w:sz w:val="17"/>
              </w:rPr>
              <w:t>TIER 0 — CRITICAL MINERALS</w:t>
            </w:r>
          </w:p>
        </w:tc>
      </w:tr>
      <w:tr>
        <w:tc>
          <w:tcPr>
            <w:tcW w:type="dxa" w:w="9072"/>
            <w:shd w:val="clear" w:color="auto" w:fill="2c4a6e"/>
          </w:tcPr>
          <w:p>
            <w:r>
              <w:rPr>
                <w:rFonts w:ascii="Courier New" w:hAnsi="Courier New"/>
                <w:b w:val="0"/>
                <w:color w:val="E2E8F0"/>
                <w:sz w:val="17"/>
              </w:rPr>
              <w:t xml:space="preserve">  Lithium (Australia 46%, Chile 30%, China 14%)   |   Cobalt (DRC 70%)   |   Graphite (China 79%)</w:t>
            </w:r>
          </w:p>
        </w:tc>
      </w:tr>
      <w:tr>
        <w:tc>
          <w:tcPr>
            <w:tcW w:type="dxa" w:w="9072"/>
            <w:shd w:val="clear" w:color="auto" w:fill="2c4a6e"/>
          </w:tcPr>
          <w:p>
            <w:r>
              <w:rPr>
                <w:rFonts w:ascii="Courier New" w:hAnsi="Courier New"/>
                <w:b w:val="0"/>
                <w:color w:val="E2E8F0"/>
                <w:sz w:val="17"/>
              </w:rPr>
              <w:t xml:space="preserve">  Rare Earth Elements — REE / NdPr  (China 85% processing)   |   SiC Wafers (Wolfspeed 30%, Coherent 20%)</w:t>
            </w:r>
          </w:p>
        </w:tc>
      </w:tr>
      <w:tr>
        <w:tc>
          <w:tcPr>
            <w:tcW w:type="dxa" w:w="9072"/>
            <w:shd w:val="clear" w:color="auto" w:fill="243550"/>
          </w:tcPr>
          <w:p>
            <w:r>
              <w:rPr>
                <w:rFonts w:ascii="Courier New" w:hAnsi="Courier New"/>
                <w:b w:val="0"/>
                <w:color w:val="E2E8F0"/>
                <w:sz w:val="17"/>
              </w:rPr>
              <w:t xml:space="preserve">                                    ▼  mineral supply fractions  ▼</w:t>
            </w:r>
          </w:p>
        </w:tc>
      </w:tr>
      <w:tr>
        <w:tc>
          <w:tcPr>
            <w:tcW w:type="dxa" w:w="9072"/>
            <w:shd w:val="clear" w:color="auto" w:fill="1e3a5f"/>
          </w:tcPr>
          <w:p>
            <w:r>
              <w:rPr>
                <w:rFonts w:ascii="Courier New" w:hAnsi="Courier New"/>
                <w:b/>
                <w:color w:val="FFFFFF"/>
                <w:sz w:val="17"/>
              </w:rPr>
              <w:t>TIER 1 — BATTERY CELL MANUFACTURING</w:t>
            </w:r>
          </w:p>
        </w:tc>
      </w:tr>
      <w:tr>
        <w:tc>
          <w:tcPr>
            <w:tcW w:type="dxa" w:w="9072"/>
            <w:shd w:val="clear" w:color="auto" w:fill="2c4a6e"/>
          </w:tcPr>
          <w:p>
            <w:r>
              <w:rPr>
                <w:rFonts w:ascii="Courier New" w:hAnsi="Courier New"/>
                <w:b w:val="0"/>
                <w:color w:val="E2E8F0"/>
                <w:sz w:val="17"/>
              </w:rPr>
              <w:t xml:space="preserve">  CATL 37%  |  BYD Cells 14%  |  LG ES 13%  |  Panasonic 7%  |  Samsung SDI 6%</w:t>
            </w:r>
          </w:p>
        </w:tc>
      </w:tr>
      <w:tr>
        <w:tc>
          <w:tcPr>
            <w:tcW w:type="dxa" w:w="9072"/>
            <w:shd w:val="clear" w:color="auto" w:fill="2c4a6e"/>
          </w:tcPr>
          <w:p>
            <w:r>
              <w:rPr>
                <w:rFonts w:ascii="Courier New" w:hAnsi="Courier New"/>
                <w:b w:val="0"/>
                <w:color w:val="E2E8F0"/>
                <w:sz w:val="17"/>
              </w:rPr>
              <w:t xml:space="preserve">  SK On 5%  |  CALB 5%  |  AESC UK 0.2%  |  Others 12.8%       [Total: 822 GWh, 2023]</w:t>
            </w:r>
          </w:p>
        </w:tc>
      </w:tr>
      <w:tr>
        <w:tc>
          <w:tcPr>
            <w:tcW w:type="dxa" w:w="9072"/>
            <w:shd w:val="clear" w:color="auto" w:fill="243550"/>
          </w:tcPr>
          <w:p>
            <w:r>
              <w:rPr>
                <w:rFonts w:ascii="Courier New" w:hAnsi="Courier New"/>
                <w:b w:val="0"/>
                <w:color w:val="E2E8F0"/>
                <w:sz w:val="17"/>
              </w:rPr>
              <w:t xml:space="preserve">                                    ▼  GWh of cells / week  ▼</w:t>
            </w:r>
          </w:p>
        </w:tc>
      </w:tr>
      <w:tr>
        <w:tc>
          <w:tcPr>
            <w:tcW w:type="dxa" w:w="9072"/>
            <w:shd w:val="clear" w:color="auto" w:fill="1e3a5f"/>
          </w:tcPr>
          <w:p>
            <w:r>
              <w:rPr>
                <w:rFonts w:ascii="Courier New" w:hAnsi="Courier New"/>
                <w:b/>
                <w:color w:val="FFFFFF"/>
                <w:sz w:val="17"/>
              </w:rPr>
              <w:t>TIER 2 — TIER-1 SUB-SYSTEM SUPPLIERS</w:t>
            </w:r>
          </w:p>
        </w:tc>
      </w:tr>
      <w:tr>
        <w:tc>
          <w:tcPr>
            <w:tcW w:type="dxa" w:w="9072"/>
            <w:shd w:val="clear" w:color="auto" w:fill="2c4a6e"/>
          </w:tcPr>
          <w:p>
            <w:r>
              <w:rPr>
                <w:rFonts w:ascii="Courier New" w:hAnsi="Courier New"/>
                <w:b w:val="0"/>
                <w:color w:val="E2E8F0"/>
                <w:sz w:val="17"/>
              </w:rPr>
              <w:t xml:space="preserve">  Battery Pack (lead 4 wk)  |  Inverter [SiC-dep.] (lead 16 wk)  |  Motor [REE-dep.] (lead 12 wk)  |  Harness [JIT] (lead 6 wk)</w:t>
            </w:r>
          </w:p>
        </w:tc>
      </w:tr>
      <w:tr>
        <w:tc>
          <w:tcPr>
            <w:tcW w:type="dxa" w:w="9072"/>
            <w:shd w:val="clear" w:color="auto" w:fill="243550"/>
          </w:tcPr>
          <w:p>
            <w:r>
              <w:rPr>
                <w:rFonts w:ascii="Courier New" w:hAnsi="Courier New"/>
                <w:b w:val="0"/>
                <w:color w:val="E2E8F0"/>
                <w:sz w:val="17"/>
              </w:rPr>
              <w:t xml:space="preserve">                                    ▼  k vehicle-equiv. components / week  ▼</w:t>
            </w:r>
          </w:p>
        </w:tc>
      </w:tr>
      <w:tr>
        <w:tc>
          <w:tcPr>
            <w:tcW w:type="dxa" w:w="9072"/>
            <w:shd w:val="clear" w:color="auto" w:fill="1e3a5f"/>
          </w:tcPr>
          <w:p>
            <w:r>
              <w:rPr>
                <w:rFonts w:ascii="Courier New" w:hAnsi="Courier New"/>
                <w:b/>
                <w:color w:val="FFFFFF"/>
                <w:sz w:val="17"/>
              </w:rPr>
              <w:t>TIER 3 — OEM ASSEMBLY</w:t>
            </w:r>
          </w:p>
        </w:tc>
      </w:tr>
      <w:tr>
        <w:tc>
          <w:tcPr>
            <w:tcW w:type="dxa" w:w="9072"/>
            <w:shd w:val="clear" w:color="auto" w:fill="2c4a6e"/>
          </w:tcPr>
          <w:p>
            <w:r>
              <w:rPr>
                <w:rFonts w:ascii="Courier New" w:hAnsi="Courier New"/>
                <w:b w:val="0"/>
                <w:color w:val="E2E8F0"/>
                <w:sz w:val="17"/>
              </w:rPr>
              <w:t xml:space="preserve">  BYD (1,575 k/yr, 95% VI)  |  Other Chinese (6,825 k/yr)  |  UK OEM (175 k/yr)</w:t>
            </w:r>
          </w:p>
        </w:tc>
      </w:tr>
      <w:tr>
        <w:tc>
          <w:tcPr>
            <w:tcW w:type="dxa" w:w="9072"/>
            <w:shd w:val="clear" w:color="auto" w:fill="2c4a6e"/>
          </w:tcPr>
          <w:p>
            <w:r>
              <w:rPr>
                <w:rFonts w:ascii="Courier New" w:hAnsi="Courier New"/>
                <w:b w:val="0"/>
                <w:color w:val="E2E8F0"/>
                <w:sz w:val="17"/>
              </w:rPr>
              <w:t xml:space="preserve">  US OEM (1,820 k/yr)  |  European OEM (1,505 k/yr)  |  Korean OEM (1,120 k/yr)  |  Japanese OEM (980 k/yr)</w:t>
            </w:r>
          </w:p>
        </w:tc>
      </w:tr>
      <w:tr>
        <w:tc>
          <w:tcPr>
            <w:tcW w:type="dxa" w:w="9072"/>
            <w:shd w:val="clear" w:color="auto" w:fill="243550"/>
          </w:tcPr>
          <w:p>
            <w:r>
              <w:rPr>
                <w:rFonts w:ascii="Courier New" w:hAnsi="Courier New"/>
                <w:b w:val="0"/>
                <w:color w:val="E2E8F0"/>
                <w:sz w:val="17"/>
              </w:rPr>
              <w:t xml:space="preserve">                                    ▼  k finished BEVs / week  ▼</w:t>
            </w:r>
          </w:p>
        </w:tc>
      </w:tr>
      <w:tr>
        <w:tc>
          <w:tcPr>
            <w:tcW w:type="dxa" w:w="9072"/>
            <w:shd w:val="clear" w:color="auto" w:fill="1e3a5f"/>
          </w:tcPr>
          <w:p>
            <w:r>
              <w:rPr>
                <w:rFonts w:ascii="Courier New" w:hAnsi="Courier New"/>
                <w:b/>
                <w:color w:val="FFFFFF"/>
                <w:sz w:val="17"/>
              </w:rPr>
              <w:t>TIER 4 — END MARKETS</w:t>
            </w:r>
          </w:p>
        </w:tc>
      </w:tr>
      <w:tr>
        <w:tc>
          <w:tcPr>
            <w:tcW w:type="dxa" w:w="9072"/>
            <w:shd w:val="clear" w:color="auto" w:fill="2c4a6e"/>
          </w:tcPr>
          <w:p>
            <w:r>
              <w:rPr>
                <w:rFonts w:ascii="Courier New" w:hAnsi="Courier New"/>
                <w:b w:val="0"/>
                <w:color w:val="E2E8F0"/>
                <w:sz w:val="17"/>
              </w:rPr>
              <w:t xml:space="preserve">  China 493 GWh/yr  |  Europe 127 GWh/yr  |  UK 20 GWh/yr  |  USA 104 GWh/yr  |  Japan 14 GWh/yr  |  ROW 64 GWh/yr</w:t>
            </w:r>
          </w:p>
        </w:tc>
      </w:tr>
      <w:tr>
        <w:tc>
          <w:tcPr>
            <w:tcW w:type="dxa" w:w="9072"/>
            <w:shd w:val="clear" w:color="auto" w:fill="1a3050"/>
          </w:tcPr>
          <w:p>
            <w:r>
              <w:rPr>
                <w:rFonts w:ascii="Courier New" w:hAnsi="Courier New"/>
                <w:b w:val="0"/>
                <w:color w:val="E2E8F0"/>
                <w:sz w:val="17"/>
              </w:rPr>
              <w:t xml:space="preserve">  ◄ ◄ ◄   price pressure signal + demand growth (29%/yr) propagated upstream   ◄ ◄ ◄</w:t>
            </w:r>
          </w:p>
        </w:tc>
      </w:tr>
    </w:tbl>
    <w:p>
      <w:pPr>
        <w:spacing w:before="80" w:after="240"/>
        <w:jc w:val="center"/>
      </w:pPr>
      <w:r>
        <w:rPr>
          <w:i/>
          <w:color w:val="606070"/>
          <w:sz w:val="18"/>
        </w:rPr>
        <w:t>Figure 1. EV supply chain tier structure and principal material/information flows. Arrows indicate direction of physical flow (downward) and price/demand signal (upward). Market shares and volumes are calibrated to 2023 production data (IEA GEO 2024).</w:t>
      </w:r>
    </w:p>
    <w:p>
      <w:r>
        <w:br w:type="page"/>
      </w:r>
    </w:p>
    <w:p>
      <w:pPr>
        <w:keepNext/>
        <w:spacing w:before="280" w:after="120"/>
        <w:pBdr>
          <w:bottom w:val="single" w:sz="6" w:space="4" w:color="2e5f9e"/>
        </w:pBdr>
      </w:pPr>
      <w:r>
        <w:rPr>
          <w:b/>
          <w:color w:val="1E3A5F"/>
          <w:sz w:val="28"/>
        </w:rPr>
        <w:t>4.  AGENT DEFINITIONS</w:t>
      </w:r>
    </w:p>
    <w:p>
      <w:pPr>
        <w:spacing w:after="100" w:lineRule="auto" w:line="276"/>
        <w:ind w:left="0"/>
      </w:pPr>
      <w:r>
        <w:rPr>
          <w:sz w:val="20"/>
        </w:rPr>
        <w:t>Five agent classes are implemented, each representing a distinct tier of the supply chain. All agents inherit a common base class with a unique agent_id and a reference to the model instance, through which they can query the SD layer and other agents.</w:t>
      </w:r>
    </w:p>
    <w:p>
      <w:pPr>
        <w:keepNext/>
        <w:spacing w:before="280" w:after="120"/>
      </w:pPr>
      <w:r>
        <w:rPr>
          <w:b/>
          <w:color w:val="2E5F9E"/>
          <w:sz w:val="23"/>
        </w:rPr>
        <w:t>4.1  Mineral Supplier Agents (MineralSupplierAgent)</w:t>
      </w:r>
    </w:p>
    <w:p>
      <w:pPr>
        <w:spacing w:after="100" w:lineRule="auto" w:line="276"/>
        <w:ind w:left="0"/>
      </w:pPr>
      <w:r>
        <w:rPr>
          <w:sz w:val="20"/>
        </w:rPr>
        <w:t>Seventeen MineralSupplierAgent instances represent country-level mineral supply sources for the five critical minerals. Each agent is characterised by its global market share of mineral production and its fraction allocated to the EV sector. Under baseline conditions, each agent's output_fraction equals 1.0 (full production). When a shock is applied, output_fraction drops to (1 − severity), where severity ∈ [0, 1]. After the shock is resolved, the agent recovers at a fixed rate of 4% per week until output_fraction returns to 1.0. The agent's contribution to the aggregate EV mineral supply is: global_share × output_fraction.</w:t>
      </w:r>
    </w:p>
    <w:p>
      <w:pPr>
        <w:spacing w:after="100" w:lineRule="auto" w:line="276"/>
        <w:ind w:left="0"/>
      </w:pPr>
      <w:r>
        <w:rPr>
          <w:sz w:val="20"/>
        </w:rPr>
        <w:t>State variables: output_fraction, shock_multiplier, is_shocked.</w:t>
      </w:r>
    </w:p>
    <w:p>
      <w:pPr>
        <w:spacing w:after="100" w:lineRule="auto" w:line="276"/>
        <w:ind w:left="0"/>
      </w:pPr>
      <w:r>
        <w:rPr>
          <w:sz w:val="20"/>
        </w:rPr>
        <w:t>Parameters: mineral, country, global_share, ev_share, safety_stock_weeks, recovery_rate_wk.</w:t>
      </w:r>
    </w:p>
    <w:p>
      <w:pPr>
        <w:keepNext/>
        <w:spacing w:before="280" w:after="120"/>
      </w:pPr>
      <w:r>
        <w:rPr>
          <w:b/>
          <w:color w:val="2E5F9E"/>
          <w:sz w:val="23"/>
        </w:rPr>
        <w:t>4.2  Cell Manufacturer Agents (CellManufacturerAgent)</w:t>
      </w:r>
    </w:p>
    <w:p>
      <w:pPr>
        <w:spacing w:after="100" w:lineRule="auto" w:line="276"/>
        <w:ind w:left="0"/>
      </w:pPr>
      <w:r>
        <w:rPr>
          <w:sz w:val="20"/>
        </w:rPr>
        <w:t>Nine CellManufacturerAgent instances model battery cell producers. Production follows a Leontief function over three mineral inputs:</w:t>
      </w:r>
    </w:p>
    <w:p>
      <w:pPr>
        <w:spacing w:after="120"/>
        <w:ind w:left="850"/>
        <w:jc w:val="center"/>
      </w:pPr>
      <w:r>
        <w:rPr>
          <w:b w:val="0"/>
          <w:i/>
          <w:color w:val="2E5F9E"/>
          <w:sz w:val="19"/>
          <w:u w:val="none"/>
        </w:rPr>
        <w:t>effective_production = min(capacity × shock_multiplier, desired) × min(lithium_frac, graphite_frac, cobalt_effect)</w:t>
      </w:r>
    </w:p>
    <w:p>
      <w:pPr>
        <w:spacing w:after="160"/>
        <w:ind w:left="850"/>
        <w:jc w:val="center"/>
      </w:pPr>
      <w:r>
        <w:rPr>
          <w:b w:val="0"/>
          <w:i/>
          <w:color w:val="2E5F9E"/>
          <w:sz w:val="19"/>
          <w:u w:val="none"/>
        </w:rPr>
        <w:t>cobalt_effect = lfp_fraction + nmc_fraction × cobalt_frac</w:t>
      </w:r>
    </w:p>
    <w:p>
      <w:pPr>
        <w:spacing w:after="100" w:lineRule="auto" w:line="276"/>
        <w:ind w:left="0"/>
      </w:pPr>
      <w:r>
        <w:rPr>
          <w:sz w:val="20"/>
        </w:rPr>
        <w:t>This formulation ensures that LFP cells (cobalt_effect approaches lfp_fraction when cobalt_frac → 0) are immune to cobalt shortage while NMC/NCA cells bear the full impact. Each agent employs an order-up-to inventory policy with a target of safety_stock_weeks × weekly_capacity. Production is set to fulfil downstream demand plus a fraction of the inventory gap: desired = weekly_capacity + gap/4.</w:t>
      </w:r>
    </w:p>
    <w:p>
      <w:pPr>
        <w:keepNext/>
        <w:spacing w:before="280" w:after="120"/>
      </w:pPr>
      <w:r>
        <w:rPr>
          <w:b/>
          <w:color w:val="2E5F9E"/>
          <w:sz w:val="23"/>
        </w:rPr>
        <w:t>4.3  Tier-1 Supplier Agents (Tier1SupplierAgent)</w:t>
      </w:r>
    </w:p>
    <w:p>
      <w:pPr>
        <w:spacing w:after="100" w:lineRule="auto" w:line="276"/>
        <w:ind w:left="0"/>
      </w:pPr>
      <w:r>
        <w:rPr>
          <w:sz w:val="20"/>
        </w:rPr>
        <w:t>Four Tier1SupplierAgent instances represent the battery pack assembler, SiC-dependent inverter supplier, REE-dependent motor supplier, and the labour-intensive wiring harness supplier. Each agent maintains an order pipeline of length lead_time_weeks: orders placed today arrive after lead_time_weeks steps. The ordering rule (order-up-to with bullwhip amplification) is:</w:t>
      </w:r>
    </w:p>
    <w:p>
      <w:pPr>
        <w:spacing w:after="160"/>
        <w:ind w:left="850"/>
        <w:jc w:val="center"/>
      </w:pPr>
      <w:r>
        <w:rPr>
          <w:b w:val="0"/>
          <w:i/>
          <w:color w:val="2E5F9E"/>
          <w:sz w:val="19"/>
          <w:u w:val="none"/>
        </w:rPr>
        <w:t>order = weekly_capacity + max(0, target_inventory − inventory_position) × bullwhip_factor</w:t>
      </w:r>
    </w:p>
    <w:p>
      <w:pPr>
        <w:spacing w:after="100" w:lineRule="auto" w:line="276"/>
        <w:ind w:left="0"/>
      </w:pPr>
      <w:r>
        <w:rPr>
          <w:sz w:val="20"/>
        </w:rPr>
        <w:t>where inventory_position = on-hand inventory + in-transit (pipeline) inventory, and bullwhip_factor = 1.25 (calibrated to the range 1.2–1.5 reported by Lee et al., 1997 for automotive supply chains). When on-hand inventory falls below 20% of the target, dual sourcing activates and the order quantity is increased by a further 20% (at a corresponding 20% cost premium).</w:t>
      </w:r>
    </w:p>
    <w:p>
      <w:pPr>
        <w:spacing w:after="100" w:lineRule="auto" w:line="276"/>
        <w:ind w:left="0"/>
      </w:pPr>
      <w:r>
        <w:rPr>
          <w:sz w:val="20"/>
        </w:rPr>
        <w:t>The SiC inverter and REE motor agents apply a partial Leontief constraint reflecting the fraction of output that depends on the critical input:</w:t>
      </w:r>
    </w:p>
    <w:p>
      <w:pPr>
        <w:spacing w:after="160"/>
        <w:ind w:left="850"/>
        <w:jc w:val="center"/>
      </w:pPr>
      <w:r>
        <w:rPr>
          <w:b w:val="0"/>
          <w:i/>
          <w:color w:val="2E5F9E"/>
          <w:sz w:val="19"/>
          <w:u w:val="none"/>
        </w:rPr>
        <w:t>input_constraint = (1 − input_dependency) + input_dependency × input_fraction</w:t>
      </w:r>
    </w:p>
    <w:p>
      <w:pPr>
        <w:spacing w:after="100" w:lineRule="auto" w:line="276"/>
        <w:ind w:left="0"/>
      </w:pPr>
      <w:r>
        <w:rPr>
          <w:sz w:val="20"/>
        </w:rPr>
        <w:t>where input_dependency = 0.45 for SiC inverters (reflecting Yole's 2023 estimate that 45% of EV inverters use SiC MOSFETs) and 0.82 for REE motors (82% of EV motors are permanent magnet synchronous machines requiring NdFeB magnets).</w:t>
      </w:r>
    </w:p>
    <w:p>
      <w:pPr>
        <w:keepNext/>
        <w:spacing w:before="280" w:after="120"/>
      </w:pPr>
      <w:r>
        <w:rPr>
          <w:b/>
          <w:color w:val="2E5F9E"/>
          <w:sz w:val="23"/>
        </w:rPr>
        <w:t>4.4  OEM Agents (OEMAgent)</w:t>
      </w:r>
    </w:p>
    <w:p>
      <w:pPr>
        <w:spacing w:after="100" w:lineRule="auto" w:line="276"/>
        <w:ind w:left="0"/>
      </w:pPr>
      <w:r>
        <w:rPr>
          <w:sz w:val="20"/>
        </w:rPr>
        <w:t>Seven OEMAgent instances model vehicle assembly plants. Each OEM applies a strict Leontief production function over four component inputs — battery packs, inverters, motors, and wiring harnesses:</w:t>
      </w:r>
    </w:p>
    <w:p>
      <w:pPr>
        <w:spacing w:after="160"/>
        <w:ind w:left="850"/>
        <w:jc w:val="center"/>
      </w:pPr>
      <w:r>
        <w:rPr>
          <w:b w:val="0"/>
          <w:i/>
          <w:color w:val="2E5F9E"/>
          <w:sz w:val="19"/>
          <w:u w:val="none"/>
        </w:rPr>
        <w:t>producible = min(inv_packs, inv_inverters, inv_motors, inv_harness)</w:t>
      </w:r>
    </w:p>
    <w:p>
      <w:pPr>
        <w:spacing w:after="100" w:lineRule="auto" w:line="276"/>
        <w:ind w:left="0"/>
      </w:pPr>
      <w:r>
        <w:rPr>
          <w:sz w:val="20"/>
        </w:rPr>
        <w:t>Production = min(target_production, producible) × shock_multiplier. The shock_multiplier term — introduced to support the UK post-Brexit friction and analogous scenarios — allows an OEM-level throughput constraint to be imposed directly (e.g. −10% from border delays). OEMs also manage a backlog: unmet demand in week t is carried forward and cleared at 15% per week. Halt weeks are recorded when production falls below 10% of the weekly target.</w:t>
      </w:r>
    </w:p>
    <w:p>
      <w:pPr>
        <w:spacing w:after="100" w:lineRule="auto" w:line="276"/>
        <w:ind w:left="0"/>
      </w:pPr>
      <w:r>
        <w:rPr>
          <w:sz w:val="20"/>
        </w:rPr>
        <w:t>Component deliveries are allocated to each OEM in proportion to its share of global annual production target: oem_share = annual_target_k / 14,000.</w:t>
      </w:r>
    </w:p>
    <w:p>
      <w:pPr>
        <w:keepNext/>
        <w:spacing w:before="280" w:after="120"/>
      </w:pPr>
      <w:r>
        <w:rPr>
          <w:b/>
          <w:color w:val="2E5F9E"/>
          <w:sz w:val="23"/>
        </w:rPr>
        <w:t>4.5  Market Demand Agents (MarketAgent)</w:t>
      </w:r>
    </w:p>
    <w:p>
      <w:pPr>
        <w:spacing w:after="100" w:lineRule="auto" w:line="276"/>
        <w:ind w:left="0"/>
      </w:pPr>
      <w:r>
        <w:rPr>
          <w:sz w:val="20"/>
        </w:rPr>
        <w:t>Six MarketAgent instances generate exogenous demand for each regional end market. Weekly demand compounds at the annual YoY growth rate: weekly_demand × (1 + weekly_growth). A price elasticity response is applied each week based on the aggregate price pressure index from the SD layer:</w:t>
      </w:r>
    </w:p>
    <w:p>
      <w:pPr>
        <w:spacing w:after="160"/>
        <w:ind w:left="850"/>
        <w:jc w:val="center"/>
      </w:pPr>
      <w:r>
        <w:rPr>
          <w:b w:val="0"/>
          <w:i/>
          <w:color w:val="2E5F9E"/>
          <w:sz w:val="19"/>
          <w:u w:val="none"/>
        </w:rPr>
        <w:t>price_effect = 1 + elasticity × (price_index − 1.0),   bounded to [0.60, 1.20]</w:t>
      </w:r>
    </w:p>
    <w:p>
      <w:pPr>
        <w:spacing w:after="100" w:lineRule="auto" w:line="276"/>
        <w:ind w:left="0"/>
      </w:pPr>
      <w:r>
        <w:rPr>
          <w:sz w:val="20"/>
        </w:rPr>
        <w:t>with price_elasticity = −0.30 (IEA, 2023). The price index is a weighted sum of convex responses to mineral stock shortfalls (1/input_fraction − 1), calibrated to historical commodity price behaviour during the 2021–22 lithium spike and 2017–18 cobalt premium (BNEF, 2023).</w:t>
      </w:r>
    </w:p>
    <w:p>
      <w:r>
        <w:br w:type="page"/>
      </w:r>
    </w:p>
    <w:p>
      <w:pPr>
        <w:keepNext/>
        <w:spacing w:before="280" w:after="120"/>
        <w:pBdr>
          <w:bottom w:val="single" w:sz="6" w:space="4" w:color="2e5f9e"/>
        </w:pBdr>
      </w:pPr>
      <w:r>
        <w:rPr>
          <w:b/>
          <w:color w:val="1E3A5F"/>
          <w:sz w:val="28"/>
        </w:rPr>
        <w:t>5.  SYSTEM DYNAMICS LAYER</w:t>
      </w:r>
    </w:p>
    <w:p>
      <w:pPr>
        <w:spacing w:after="100" w:lineRule="auto" w:line="276"/>
        <w:ind w:left="0"/>
      </w:pPr>
      <w:r>
        <w:rPr>
          <w:sz w:val="20"/>
        </w:rPr>
        <w:t>The SD layer maintains ten stocks: five mineral stocks (normalised to 'weeks of EV-industry consumption at baseline') and five component stocks (absolute units: GWh for cells, k vehicle-equivalents for packs, inverters, motors and harness). Each stock is updated at each weekly step:</w:t>
      </w:r>
    </w:p>
    <w:p>
      <w:pPr>
        <w:spacing w:after="160"/>
        <w:ind w:left="850"/>
        <w:jc w:val="center"/>
      </w:pPr>
      <w:r>
        <w:rPr>
          <w:b w:val="0"/>
          <w:i/>
          <w:color w:val="2E5F9E"/>
          <w:sz w:val="19"/>
          <w:u w:val="none"/>
        </w:rPr>
        <w:t>stock[t+1] = max(0, min(stock[t] + inflow[t] − outflow[t], 4 × target_stock))</w:t>
      </w:r>
    </w:p>
    <w:p>
      <w:pPr>
        <w:spacing w:after="100" w:lineRule="auto" w:line="276"/>
        <w:ind w:left="0"/>
      </w:pPr>
      <w:r>
        <w:rPr>
          <w:sz w:val="20"/>
        </w:rPr>
        <w:t>The 4× cap prevents unbounded stock accumulation during low-demand periods. Target stocks are set at baseline throughput × target weeks (Table 2). Inflows are supplied by agent production in the tier above; outflows are consumed by agent production in the tier below.</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01"/>
            <w:shd w:val="clear" w:color="auto" w:fill="2e5f9e"/>
            <w:vAlign w:val="center"/>
          </w:tcPr>
          <w:p>
            <w:pPr>
              <w:jc w:val="center"/>
            </w:pPr>
            <w:r>
              <w:rPr>
                <w:b/>
                <w:color w:val="FFFFFF"/>
                <w:sz w:val="18"/>
              </w:rPr>
              <w:t>Stock</w:t>
            </w:r>
          </w:p>
        </w:tc>
        <w:tc>
          <w:tcPr>
            <w:tcW w:type="dxa" w:w="1417"/>
            <w:shd w:val="clear" w:color="auto" w:fill="2e5f9e"/>
            <w:vAlign w:val="center"/>
          </w:tcPr>
          <w:p>
            <w:pPr>
              <w:jc w:val="center"/>
            </w:pPr>
            <w:r>
              <w:rPr>
                <w:b/>
                <w:color w:val="FFFFFF"/>
                <w:sz w:val="18"/>
              </w:rPr>
              <w:t>Unit</w:t>
            </w:r>
          </w:p>
        </w:tc>
        <w:tc>
          <w:tcPr>
            <w:tcW w:type="dxa" w:w="1417"/>
            <w:shd w:val="clear" w:color="auto" w:fill="2e5f9e"/>
            <w:vAlign w:val="center"/>
          </w:tcPr>
          <w:p>
            <w:pPr>
              <w:jc w:val="center"/>
            </w:pPr>
            <w:r>
              <w:rPr>
                <w:b/>
                <w:color w:val="FFFFFF"/>
                <w:sz w:val="18"/>
              </w:rPr>
              <w:t>Target (weeks)</w:t>
            </w:r>
          </w:p>
        </w:tc>
        <w:tc>
          <w:tcPr>
            <w:tcW w:type="dxa" w:w="2551"/>
            <w:shd w:val="clear" w:color="auto" w:fill="2e5f9e"/>
            <w:vAlign w:val="center"/>
          </w:tcPr>
          <w:p>
            <w:pPr>
              <w:jc w:val="center"/>
            </w:pPr>
            <w:r>
              <w:rPr>
                <w:b/>
                <w:color w:val="FFFFFF"/>
                <w:sz w:val="18"/>
              </w:rPr>
              <w:t>Baseline weekly throughput</w:t>
            </w:r>
          </w:p>
        </w:tc>
        <w:tc>
          <w:tcPr>
            <w:tcW w:type="dxa" w:w="1417"/>
            <w:shd w:val="clear" w:color="auto" w:fill="2e5f9e"/>
            <w:vAlign w:val="center"/>
          </w:tcPr>
          <w:p>
            <w:pPr>
              <w:jc w:val="center"/>
            </w:pPr>
            <w:r>
              <w:rPr>
                <w:b/>
                <w:color w:val="FFFFFF"/>
                <w:sz w:val="18"/>
              </w:rPr>
              <w:t>Initial value</w:t>
            </w:r>
          </w:p>
        </w:tc>
      </w:tr>
      <w:tr>
        <w:tc>
          <w:tcPr>
            <w:tcW w:type="dxa" w:w="1814"/>
            <w:shd w:val="clear" w:color="auto" w:fill="f0f4f8"/>
          </w:tcPr>
          <w:p>
            <w:r>
              <w:rPr>
                <w:b/>
                <w:sz w:val="18"/>
              </w:rPr>
              <w:t>Lithium</w:t>
            </w:r>
          </w:p>
        </w:tc>
        <w:tc>
          <w:tcPr>
            <w:tcW w:type="dxa" w:w="1814"/>
            <w:shd w:val="clear" w:color="auto" w:fill="f0f4f8"/>
          </w:tcPr>
          <w:p>
            <w:r>
              <w:rPr>
                <w:sz w:val="18"/>
              </w:rPr>
              <w:t>Normalised</w:t>
            </w:r>
          </w:p>
        </w:tc>
        <w:tc>
          <w:tcPr>
            <w:tcW w:type="dxa" w:w="1814"/>
            <w:shd w:val="clear" w:color="auto" w:fill="f0f4f8"/>
          </w:tcPr>
          <w:p>
            <w:r>
              <w:rPr>
                <w:sz w:val="18"/>
              </w:rPr>
              <w:t>4</w:t>
            </w:r>
          </w:p>
        </w:tc>
        <w:tc>
          <w:tcPr>
            <w:tcW w:type="dxa" w:w="1814"/>
            <w:shd w:val="clear" w:color="auto" w:fill="f0f4f8"/>
          </w:tcPr>
          <w:p>
            <w:r>
              <w:rPr>
                <w:sz w:val="18"/>
              </w:rPr>
              <w:t>1.0 (fraction)</w:t>
            </w:r>
          </w:p>
        </w:tc>
        <w:tc>
          <w:tcPr>
            <w:tcW w:type="dxa" w:w="1814"/>
            <w:shd w:val="clear" w:color="auto" w:fill="f0f4f8"/>
          </w:tcPr>
          <w:p>
            <w:r>
              <w:rPr>
                <w:sz w:val="18"/>
              </w:rPr>
              <w:t>4.0</w:t>
            </w:r>
          </w:p>
        </w:tc>
      </w:tr>
      <w:tr>
        <w:tc>
          <w:tcPr>
            <w:tcW w:type="dxa" w:w="1814"/>
          </w:tcPr>
          <w:p>
            <w:r>
              <w:rPr>
                <w:b/>
                <w:sz w:val="18"/>
              </w:rPr>
              <w:t>Cobalt</w:t>
            </w:r>
          </w:p>
        </w:tc>
        <w:tc>
          <w:tcPr>
            <w:tcW w:type="dxa" w:w="1814"/>
          </w:tcPr>
          <w:p>
            <w:r>
              <w:rPr>
                <w:sz w:val="18"/>
              </w:rPr>
              <w:t>Normalised</w:t>
            </w:r>
          </w:p>
        </w:tc>
        <w:tc>
          <w:tcPr>
            <w:tcW w:type="dxa" w:w="1814"/>
          </w:tcPr>
          <w:p>
            <w:r>
              <w:rPr>
                <w:sz w:val="18"/>
              </w:rPr>
              <w:t>6</w:t>
            </w:r>
          </w:p>
        </w:tc>
        <w:tc>
          <w:tcPr>
            <w:tcW w:type="dxa" w:w="1814"/>
          </w:tcPr>
          <w:p>
            <w:r>
              <w:rPr>
                <w:sz w:val="18"/>
              </w:rPr>
              <w:t>1.0 (fraction)</w:t>
            </w:r>
          </w:p>
        </w:tc>
        <w:tc>
          <w:tcPr>
            <w:tcW w:type="dxa" w:w="1814"/>
          </w:tcPr>
          <w:p>
            <w:r>
              <w:rPr>
                <w:sz w:val="18"/>
              </w:rPr>
              <w:t>6.0</w:t>
            </w:r>
          </w:p>
        </w:tc>
      </w:tr>
      <w:tr>
        <w:tc>
          <w:tcPr>
            <w:tcW w:type="dxa" w:w="1814"/>
            <w:shd w:val="clear" w:color="auto" w:fill="f0f4f8"/>
          </w:tcPr>
          <w:p>
            <w:r>
              <w:rPr>
                <w:b/>
                <w:sz w:val="18"/>
              </w:rPr>
              <w:t>Graphite</w:t>
            </w:r>
          </w:p>
        </w:tc>
        <w:tc>
          <w:tcPr>
            <w:tcW w:type="dxa" w:w="1814"/>
            <w:shd w:val="clear" w:color="auto" w:fill="f0f4f8"/>
          </w:tcPr>
          <w:p>
            <w:r>
              <w:rPr>
                <w:sz w:val="18"/>
              </w:rPr>
              <w:t>Normalised</w:t>
            </w:r>
          </w:p>
        </w:tc>
        <w:tc>
          <w:tcPr>
            <w:tcW w:type="dxa" w:w="1814"/>
            <w:shd w:val="clear" w:color="auto" w:fill="f0f4f8"/>
          </w:tcPr>
          <w:p>
            <w:r>
              <w:rPr>
                <w:sz w:val="18"/>
              </w:rPr>
              <w:t>4</w:t>
            </w:r>
          </w:p>
        </w:tc>
        <w:tc>
          <w:tcPr>
            <w:tcW w:type="dxa" w:w="1814"/>
            <w:shd w:val="clear" w:color="auto" w:fill="f0f4f8"/>
          </w:tcPr>
          <w:p>
            <w:r>
              <w:rPr>
                <w:sz w:val="18"/>
              </w:rPr>
              <w:t>1.0 (fraction)</w:t>
            </w:r>
          </w:p>
        </w:tc>
        <w:tc>
          <w:tcPr>
            <w:tcW w:type="dxa" w:w="1814"/>
            <w:shd w:val="clear" w:color="auto" w:fill="f0f4f8"/>
          </w:tcPr>
          <w:p>
            <w:r>
              <w:rPr>
                <w:sz w:val="18"/>
              </w:rPr>
              <w:t>4.0</w:t>
            </w:r>
          </w:p>
        </w:tc>
      </w:tr>
      <w:tr>
        <w:tc>
          <w:tcPr>
            <w:tcW w:type="dxa" w:w="1814"/>
          </w:tcPr>
          <w:p>
            <w:r>
              <w:rPr>
                <w:b/>
                <w:sz w:val="18"/>
              </w:rPr>
              <w:t>REE / NdPr</w:t>
            </w:r>
          </w:p>
        </w:tc>
        <w:tc>
          <w:tcPr>
            <w:tcW w:type="dxa" w:w="1814"/>
          </w:tcPr>
          <w:p>
            <w:r>
              <w:rPr>
                <w:sz w:val="18"/>
              </w:rPr>
              <w:t>Normalised</w:t>
            </w:r>
          </w:p>
        </w:tc>
        <w:tc>
          <w:tcPr>
            <w:tcW w:type="dxa" w:w="1814"/>
          </w:tcPr>
          <w:p>
            <w:r>
              <w:rPr>
                <w:sz w:val="18"/>
              </w:rPr>
              <w:t>8</w:t>
            </w:r>
          </w:p>
        </w:tc>
        <w:tc>
          <w:tcPr>
            <w:tcW w:type="dxa" w:w="1814"/>
          </w:tcPr>
          <w:p>
            <w:r>
              <w:rPr>
                <w:sz w:val="18"/>
              </w:rPr>
              <w:t>1.0 (fraction)</w:t>
            </w:r>
          </w:p>
        </w:tc>
        <w:tc>
          <w:tcPr>
            <w:tcW w:type="dxa" w:w="1814"/>
          </w:tcPr>
          <w:p>
            <w:r>
              <w:rPr>
                <w:sz w:val="18"/>
              </w:rPr>
              <w:t>8.0</w:t>
            </w:r>
          </w:p>
        </w:tc>
      </w:tr>
      <w:tr>
        <w:tc>
          <w:tcPr>
            <w:tcW w:type="dxa" w:w="1814"/>
            <w:shd w:val="clear" w:color="auto" w:fill="f0f4f8"/>
          </w:tcPr>
          <w:p>
            <w:r>
              <w:rPr>
                <w:b/>
                <w:sz w:val="18"/>
              </w:rPr>
              <w:t>SiC Wafer</w:t>
            </w:r>
          </w:p>
        </w:tc>
        <w:tc>
          <w:tcPr>
            <w:tcW w:type="dxa" w:w="1814"/>
            <w:shd w:val="clear" w:color="auto" w:fill="f0f4f8"/>
          </w:tcPr>
          <w:p>
            <w:r>
              <w:rPr>
                <w:sz w:val="18"/>
              </w:rPr>
              <w:t>Normalised</w:t>
            </w:r>
          </w:p>
        </w:tc>
        <w:tc>
          <w:tcPr>
            <w:tcW w:type="dxa" w:w="1814"/>
            <w:shd w:val="clear" w:color="auto" w:fill="f0f4f8"/>
          </w:tcPr>
          <w:p>
            <w:r>
              <w:rPr>
                <w:sz w:val="18"/>
              </w:rPr>
              <w:t>12</w:t>
            </w:r>
          </w:p>
        </w:tc>
        <w:tc>
          <w:tcPr>
            <w:tcW w:type="dxa" w:w="1814"/>
            <w:shd w:val="clear" w:color="auto" w:fill="f0f4f8"/>
          </w:tcPr>
          <w:p>
            <w:r>
              <w:rPr>
                <w:sz w:val="18"/>
              </w:rPr>
              <w:t>1.0 (fraction)</w:t>
            </w:r>
          </w:p>
        </w:tc>
        <w:tc>
          <w:tcPr>
            <w:tcW w:type="dxa" w:w="1814"/>
            <w:shd w:val="clear" w:color="auto" w:fill="f0f4f8"/>
          </w:tcPr>
          <w:p>
            <w:r>
              <w:rPr>
                <w:sz w:val="18"/>
              </w:rPr>
              <w:t>12.0</w:t>
            </w:r>
          </w:p>
        </w:tc>
      </w:tr>
      <w:tr>
        <w:tc>
          <w:tcPr>
            <w:tcW w:type="dxa" w:w="1814"/>
          </w:tcPr>
          <w:p>
            <w:r>
              <w:rPr>
                <w:b/>
                <w:sz w:val="18"/>
              </w:rPr>
              <w:t>Cells</w:t>
            </w:r>
          </w:p>
        </w:tc>
        <w:tc>
          <w:tcPr>
            <w:tcW w:type="dxa" w:w="1814"/>
          </w:tcPr>
          <w:p>
            <w:r>
              <w:rPr>
                <w:sz w:val="18"/>
              </w:rPr>
              <w:t>GWh</w:t>
            </w:r>
          </w:p>
        </w:tc>
        <w:tc>
          <w:tcPr>
            <w:tcW w:type="dxa" w:w="1814"/>
          </w:tcPr>
          <w:p>
            <w:r>
              <w:rPr>
                <w:sz w:val="18"/>
              </w:rPr>
              <w:t>4</w:t>
            </w:r>
          </w:p>
        </w:tc>
        <w:tc>
          <w:tcPr>
            <w:tcW w:type="dxa" w:w="1814"/>
          </w:tcPr>
          <w:p>
            <w:r>
              <w:rPr>
                <w:sz w:val="18"/>
              </w:rPr>
              <w:t>15.81 GWh/wk</w:t>
            </w:r>
          </w:p>
        </w:tc>
        <w:tc>
          <w:tcPr>
            <w:tcW w:type="dxa" w:w="1814"/>
          </w:tcPr>
          <w:p>
            <w:r>
              <w:rPr>
                <w:sz w:val="18"/>
              </w:rPr>
              <w:t>63.24 GWh</w:t>
            </w:r>
          </w:p>
        </w:tc>
      </w:tr>
      <w:tr>
        <w:tc>
          <w:tcPr>
            <w:tcW w:type="dxa" w:w="1814"/>
            <w:shd w:val="clear" w:color="auto" w:fill="f0f4f8"/>
          </w:tcPr>
          <w:p>
            <w:r>
              <w:rPr>
                <w:b/>
                <w:sz w:val="18"/>
              </w:rPr>
              <w:t>Packs</w:t>
            </w:r>
          </w:p>
        </w:tc>
        <w:tc>
          <w:tcPr>
            <w:tcW w:type="dxa" w:w="1814"/>
            <w:shd w:val="clear" w:color="auto" w:fill="f0f4f8"/>
          </w:tcPr>
          <w:p>
            <w:r>
              <w:rPr>
                <w:sz w:val="18"/>
              </w:rPr>
              <w:t>k veh-equiv.</w:t>
            </w:r>
          </w:p>
        </w:tc>
        <w:tc>
          <w:tcPr>
            <w:tcW w:type="dxa" w:w="1814"/>
            <w:shd w:val="clear" w:color="auto" w:fill="f0f4f8"/>
          </w:tcPr>
          <w:p>
            <w:r>
              <w:rPr>
                <w:sz w:val="18"/>
              </w:rPr>
              <w:t>3</w:t>
            </w:r>
          </w:p>
        </w:tc>
        <w:tc>
          <w:tcPr>
            <w:tcW w:type="dxa" w:w="1814"/>
            <w:shd w:val="clear" w:color="auto" w:fill="f0f4f8"/>
          </w:tcPr>
          <w:p>
            <w:r>
              <w:rPr>
                <w:sz w:val="18"/>
              </w:rPr>
              <w:t>269.2 k/wk</w:t>
            </w:r>
          </w:p>
        </w:tc>
        <w:tc>
          <w:tcPr>
            <w:tcW w:type="dxa" w:w="1814"/>
            <w:shd w:val="clear" w:color="auto" w:fill="f0f4f8"/>
          </w:tcPr>
          <w:p>
            <w:r>
              <w:rPr>
                <w:sz w:val="18"/>
              </w:rPr>
              <w:t>807.7 k</w:t>
            </w:r>
          </w:p>
        </w:tc>
      </w:tr>
      <w:tr>
        <w:tc>
          <w:tcPr>
            <w:tcW w:type="dxa" w:w="1814"/>
          </w:tcPr>
          <w:p>
            <w:r>
              <w:rPr>
                <w:b/>
                <w:sz w:val="18"/>
              </w:rPr>
              <w:t>Inverters</w:t>
            </w:r>
          </w:p>
        </w:tc>
        <w:tc>
          <w:tcPr>
            <w:tcW w:type="dxa" w:w="1814"/>
          </w:tcPr>
          <w:p>
            <w:r>
              <w:rPr>
                <w:sz w:val="18"/>
              </w:rPr>
              <w:t>k veh-equiv.</w:t>
            </w:r>
          </w:p>
        </w:tc>
        <w:tc>
          <w:tcPr>
            <w:tcW w:type="dxa" w:w="1814"/>
          </w:tcPr>
          <w:p>
            <w:r>
              <w:rPr>
                <w:sz w:val="18"/>
              </w:rPr>
              <w:t>8</w:t>
            </w:r>
          </w:p>
        </w:tc>
        <w:tc>
          <w:tcPr>
            <w:tcW w:type="dxa" w:w="1814"/>
          </w:tcPr>
          <w:p>
            <w:r>
              <w:rPr>
                <w:sz w:val="18"/>
              </w:rPr>
              <w:t>269.2 k/wk</w:t>
            </w:r>
          </w:p>
        </w:tc>
        <w:tc>
          <w:tcPr>
            <w:tcW w:type="dxa" w:w="1814"/>
          </w:tcPr>
          <w:p>
            <w:r>
              <w:rPr>
                <w:sz w:val="18"/>
              </w:rPr>
              <w:t>2,153.8 k</w:t>
            </w:r>
          </w:p>
        </w:tc>
      </w:tr>
      <w:tr>
        <w:tc>
          <w:tcPr>
            <w:tcW w:type="dxa" w:w="1814"/>
            <w:shd w:val="clear" w:color="auto" w:fill="f0f4f8"/>
          </w:tcPr>
          <w:p>
            <w:r>
              <w:rPr>
                <w:b/>
                <w:sz w:val="18"/>
              </w:rPr>
              <w:t>Motors</w:t>
            </w:r>
          </w:p>
        </w:tc>
        <w:tc>
          <w:tcPr>
            <w:tcW w:type="dxa" w:w="1814"/>
            <w:shd w:val="clear" w:color="auto" w:fill="f0f4f8"/>
          </w:tcPr>
          <w:p>
            <w:r>
              <w:rPr>
                <w:sz w:val="18"/>
              </w:rPr>
              <w:t>k veh-equiv.</w:t>
            </w:r>
          </w:p>
        </w:tc>
        <w:tc>
          <w:tcPr>
            <w:tcW w:type="dxa" w:w="1814"/>
            <w:shd w:val="clear" w:color="auto" w:fill="f0f4f8"/>
          </w:tcPr>
          <w:p>
            <w:r>
              <w:rPr>
                <w:sz w:val="18"/>
              </w:rPr>
              <w:t>6</w:t>
            </w:r>
          </w:p>
        </w:tc>
        <w:tc>
          <w:tcPr>
            <w:tcW w:type="dxa" w:w="1814"/>
            <w:shd w:val="clear" w:color="auto" w:fill="f0f4f8"/>
          </w:tcPr>
          <w:p>
            <w:r>
              <w:rPr>
                <w:sz w:val="18"/>
              </w:rPr>
              <w:t>269.2 k/wk</w:t>
            </w:r>
          </w:p>
        </w:tc>
        <w:tc>
          <w:tcPr>
            <w:tcW w:type="dxa" w:w="1814"/>
            <w:shd w:val="clear" w:color="auto" w:fill="f0f4f8"/>
          </w:tcPr>
          <w:p>
            <w:r>
              <w:rPr>
                <w:sz w:val="18"/>
              </w:rPr>
              <w:t>1,615.4 k</w:t>
            </w:r>
          </w:p>
        </w:tc>
      </w:tr>
      <w:tr>
        <w:tc>
          <w:tcPr>
            <w:tcW w:type="dxa" w:w="1814"/>
          </w:tcPr>
          <w:p>
            <w:r>
              <w:rPr>
                <w:b/>
                <w:sz w:val="18"/>
              </w:rPr>
              <w:t>Harness</w:t>
            </w:r>
          </w:p>
        </w:tc>
        <w:tc>
          <w:tcPr>
            <w:tcW w:type="dxa" w:w="1814"/>
          </w:tcPr>
          <w:p>
            <w:r>
              <w:rPr>
                <w:sz w:val="18"/>
              </w:rPr>
              <w:t>k veh-equiv.</w:t>
            </w:r>
          </w:p>
        </w:tc>
        <w:tc>
          <w:tcPr>
            <w:tcW w:type="dxa" w:w="1814"/>
          </w:tcPr>
          <w:p>
            <w:r>
              <w:rPr>
                <w:sz w:val="18"/>
              </w:rPr>
              <w:t>2</w:t>
            </w:r>
          </w:p>
        </w:tc>
        <w:tc>
          <w:tcPr>
            <w:tcW w:type="dxa" w:w="1814"/>
          </w:tcPr>
          <w:p>
            <w:r>
              <w:rPr>
                <w:sz w:val="18"/>
              </w:rPr>
              <w:t>269.2 k/wk</w:t>
            </w:r>
          </w:p>
        </w:tc>
        <w:tc>
          <w:tcPr>
            <w:tcW w:type="dxa" w:w="1814"/>
          </w:tcPr>
          <w:p>
            <w:r>
              <w:rPr>
                <w:sz w:val="18"/>
              </w:rPr>
              <w:t>538.5 k</w:t>
            </w:r>
          </w:p>
        </w:tc>
      </w:tr>
    </w:tbl>
    <w:p>
      <w:pPr>
        <w:spacing w:before="80" w:after="240"/>
        <w:jc w:val="center"/>
      </w:pPr>
      <w:r>
        <w:rPr>
          <w:i/>
          <w:color w:val="606070"/>
          <w:sz w:val="18"/>
        </w:rPr>
        <w:t>Table 2. System Dynamics stock parameters. Target weeks reflect industry safety-stock practice. Harness (2 weeks) represents just-in-time vulnerability; SiC wafer (12 weeks) reflects long qualification lead times.</w:t>
      </w:r>
    </w:p>
    <w:p>
      <w:r>
        <w:br w:type="page"/>
      </w:r>
    </w:p>
    <w:p>
      <w:pPr>
        <w:keepNext/>
        <w:spacing w:before="280" w:after="120"/>
        <w:pBdr>
          <w:bottom w:val="single" w:sz="6" w:space="4" w:color="2e5f9e"/>
        </w:pBdr>
      </w:pPr>
      <w:r>
        <w:rPr>
          <w:b/>
          <w:color w:val="1E3A5F"/>
          <w:sz w:val="28"/>
        </w:rPr>
        <w:t>6.  MODEL PARAMETERS</w:t>
      </w:r>
    </w:p>
    <w:p>
      <w:pPr>
        <w:keepNext/>
        <w:spacing w:before="280" w:after="120"/>
      </w:pPr>
      <w:r>
        <w:rPr>
          <w:b/>
          <w:color w:val="2E5F9E"/>
          <w:sz w:val="23"/>
        </w:rPr>
        <w:t>6.1  Critical Minerals</w:t>
      </w:r>
    </w:p>
    <w:p>
      <w:pPr>
        <w:spacing w:after="100" w:lineRule="auto" w:line="276"/>
        <w:ind w:left="0"/>
      </w:pPr>
      <w:r>
        <w:rPr>
          <w:sz w:val="20"/>
        </w:rPr>
        <w:t>Five critical minerals are tracked. Table 3 summarises the global production volumes, EV sector shares, safety stock levels, supply concentration, and 2024 spot prices used to initialise the model. All values are sourced from USGS Mineral Commodity Summaries 2024 (USGS, 2024) and IEA Critical Minerals Market Review 2023 (IEA, 2023b) unless otherwise noted.</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247"/>
            <w:shd w:val="clear" w:color="auto" w:fill="2e5f9e"/>
            <w:vAlign w:val="center"/>
          </w:tcPr>
          <w:p>
            <w:pPr>
              <w:jc w:val="center"/>
            </w:pPr>
            <w:r>
              <w:rPr>
                <w:b/>
                <w:color w:val="FFFFFF"/>
                <w:sz w:val="18"/>
              </w:rPr>
              <w:t>Mineral</w:t>
            </w:r>
          </w:p>
        </w:tc>
        <w:tc>
          <w:tcPr>
            <w:tcW w:type="dxa" w:w="1587"/>
            <w:shd w:val="clear" w:color="auto" w:fill="2e5f9e"/>
            <w:vAlign w:val="center"/>
          </w:tcPr>
          <w:p>
            <w:pPr>
              <w:jc w:val="center"/>
            </w:pPr>
            <w:r>
              <w:rPr>
                <w:b/>
                <w:color w:val="FFFFFF"/>
                <w:sz w:val="18"/>
              </w:rPr>
              <w:t>Global prod. (2023)</w:t>
            </w:r>
          </w:p>
        </w:tc>
        <w:tc>
          <w:tcPr>
            <w:tcW w:type="dxa" w:w="907"/>
            <w:shd w:val="clear" w:color="auto" w:fill="2e5f9e"/>
            <w:vAlign w:val="center"/>
          </w:tcPr>
          <w:p>
            <w:pPr>
              <w:jc w:val="center"/>
            </w:pPr>
            <w:r>
              <w:rPr>
                <w:b/>
                <w:color w:val="FFFFFF"/>
                <w:sz w:val="18"/>
              </w:rPr>
              <w:t>EV share</w:t>
            </w:r>
          </w:p>
        </w:tc>
        <w:tc>
          <w:tcPr>
            <w:tcW w:type="dxa" w:w="1247"/>
            <w:shd w:val="clear" w:color="auto" w:fill="2e5f9e"/>
            <w:vAlign w:val="center"/>
          </w:tcPr>
          <w:p>
            <w:pPr>
              <w:jc w:val="center"/>
            </w:pPr>
            <w:r>
              <w:rPr>
                <w:b/>
                <w:color w:val="FFFFFF"/>
                <w:sz w:val="18"/>
              </w:rPr>
              <w:t>EV tonnage</w:t>
            </w:r>
          </w:p>
        </w:tc>
        <w:tc>
          <w:tcPr>
            <w:tcW w:type="dxa" w:w="1134"/>
            <w:shd w:val="clear" w:color="auto" w:fill="2e5f9e"/>
            <w:vAlign w:val="center"/>
          </w:tcPr>
          <w:p>
            <w:pPr>
              <w:jc w:val="center"/>
            </w:pPr>
            <w:r>
              <w:rPr>
                <w:b/>
                <w:color w:val="FFFFFF"/>
                <w:sz w:val="18"/>
              </w:rPr>
              <w:t>Safety stock</w:t>
            </w:r>
          </w:p>
        </w:tc>
        <w:tc>
          <w:tcPr>
            <w:tcW w:type="dxa" w:w="1984"/>
            <w:shd w:val="clear" w:color="auto" w:fill="2e5f9e"/>
            <w:vAlign w:val="center"/>
          </w:tcPr>
          <w:p>
            <w:pPr>
              <w:jc w:val="center"/>
            </w:pPr>
            <w:r>
              <w:rPr>
                <w:b/>
                <w:color w:val="FFFFFF"/>
                <w:sz w:val="18"/>
              </w:rPr>
              <w:t>Dominant supplier</w:t>
            </w:r>
          </w:p>
        </w:tc>
        <w:tc>
          <w:tcPr>
            <w:tcW w:type="dxa" w:w="1134"/>
            <w:shd w:val="clear" w:color="auto" w:fill="2e5f9e"/>
            <w:vAlign w:val="center"/>
          </w:tcPr>
          <w:p>
            <w:pPr>
              <w:jc w:val="center"/>
            </w:pPr>
            <w:r>
              <w:rPr>
                <w:b/>
                <w:color w:val="FFFFFF"/>
                <w:sz w:val="18"/>
              </w:rPr>
              <w:t>Price (2024)</w:t>
            </w:r>
          </w:p>
        </w:tc>
        <w:tc>
          <w:tcPr>
            <w:tcW w:type="dxa" w:w="1247"/>
            <w:shd w:val="clear" w:color="auto" w:fill="2e5f9e"/>
            <w:vAlign w:val="center"/>
          </w:tcPr>
          <w:p>
            <w:pPr>
              <w:jc w:val="center"/>
            </w:pPr>
            <w:r>
              <w:rPr>
                <w:b/>
                <w:color w:val="FFFFFF"/>
                <w:sz w:val="18"/>
              </w:rPr>
              <w:t>Vol. (ann. σ/μ)</w:t>
            </w:r>
          </w:p>
        </w:tc>
      </w:tr>
      <w:tr>
        <w:tc>
          <w:tcPr>
            <w:tcW w:type="dxa" w:w="1134"/>
            <w:shd w:val="clear" w:color="auto" w:fill="f0f4f8"/>
          </w:tcPr>
          <w:p>
            <w:r>
              <w:rPr>
                <w:b/>
                <w:sz w:val="18"/>
              </w:rPr>
              <w:t>Lithium</w:t>
            </w:r>
          </w:p>
        </w:tc>
        <w:tc>
          <w:tcPr>
            <w:tcW w:type="dxa" w:w="1134"/>
            <w:shd w:val="clear" w:color="auto" w:fill="f0f4f8"/>
          </w:tcPr>
          <w:p>
            <w:r>
              <w:rPr>
                <w:sz w:val="18"/>
              </w:rPr>
              <w:t>180 kt/yr</w:t>
            </w:r>
          </w:p>
        </w:tc>
        <w:tc>
          <w:tcPr>
            <w:tcW w:type="dxa" w:w="1134"/>
            <w:shd w:val="clear" w:color="auto" w:fill="f0f4f8"/>
          </w:tcPr>
          <w:p>
            <w:r>
              <w:rPr>
                <w:sz w:val="18"/>
              </w:rPr>
              <w:t>37%</w:t>
            </w:r>
          </w:p>
        </w:tc>
        <w:tc>
          <w:tcPr>
            <w:tcW w:type="dxa" w:w="1134"/>
            <w:shd w:val="clear" w:color="auto" w:fill="f0f4f8"/>
          </w:tcPr>
          <w:p>
            <w:r>
              <w:rPr>
                <w:sz w:val="18"/>
              </w:rPr>
              <w:t>66.6 kt/yr</w:t>
            </w:r>
          </w:p>
        </w:tc>
        <w:tc>
          <w:tcPr>
            <w:tcW w:type="dxa" w:w="1134"/>
            <w:shd w:val="clear" w:color="auto" w:fill="f0f4f8"/>
          </w:tcPr>
          <w:p>
            <w:r>
              <w:rPr>
                <w:sz w:val="18"/>
              </w:rPr>
              <w:t>4 weeks</w:t>
            </w:r>
          </w:p>
        </w:tc>
        <w:tc>
          <w:tcPr>
            <w:tcW w:type="dxa" w:w="1134"/>
            <w:shd w:val="clear" w:color="auto" w:fill="f0f4f8"/>
          </w:tcPr>
          <w:p>
            <w:r>
              <w:rPr>
                <w:sz w:val="18"/>
              </w:rPr>
              <w:t>Australia 46%, Chile 30%</w:t>
            </w:r>
          </w:p>
        </w:tc>
        <w:tc>
          <w:tcPr>
            <w:tcW w:type="dxa" w:w="1134"/>
            <w:shd w:val="clear" w:color="auto" w:fill="f0f4f8"/>
          </w:tcPr>
          <w:p>
            <w:r>
              <w:rPr>
                <w:sz w:val="18"/>
              </w:rPr>
              <w:t>$13,500/t</w:t>
            </w:r>
          </w:p>
        </w:tc>
        <w:tc>
          <w:tcPr>
            <w:tcW w:type="dxa" w:w="1134"/>
            <w:shd w:val="clear" w:color="auto" w:fill="f0f4f8"/>
          </w:tcPr>
          <w:p>
            <w:r>
              <w:rPr>
                <w:sz w:val="18"/>
              </w:rPr>
              <w:t>35%</w:t>
            </w:r>
          </w:p>
        </w:tc>
      </w:tr>
      <w:tr>
        <w:tc>
          <w:tcPr>
            <w:tcW w:type="dxa" w:w="1134"/>
          </w:tcPr>
          <w:p>
            <w:r>
              <w:rPr>
                <w:b/>
                <w:sz w:val="18"/>
              </w:rPr>
              <w:t>Cobalt</w:t>
            </w:r>
          </w:p>
        </w:tc>
        <w:tc>
          <w:tcPr>
            <w:tcW w:type="dxa" w:w="1134"/>
          </w:tcPr>
          <w:p>
            <w:r>
              <w:rPr>
                <w:sz w:val="18"/>
              </w:rPr>
              <w:t>190 kt/yr</w:t>
            </w:r>
          </w:p>
        </w:tc>
        <w:tc>
          <w:tcPr>
            <w:tcW w:type="dxa" w:w="1134"/>
          </w:tcPr>
          <w:p>
            <w:r>
              <w:rPr>
                <w:sz w:val="18"/>
              </w:rPr>
              <w:t>28%</w:t>
            </w:r>
          </w:p>
        </w:tc>
        <w:tc>
          <w:tcPr>
            <w:tcW w:type="dxa" w:w="1134"/>
          </w:tcPr>
          <w:p>
            <w:r>
              <w:rPr>
                <w:sz w:val="18"/>
              </w:rPr>
              <w:t>53.2 kt/yr</w:t>
            </w:r>
          </w:p>
        </w:tc>
        <w:tc>
          <w:tcPr>
            <w:tcW w:type="dxa" w:w="1134"/>
          </w:tcPr>
          <w:p>
            <w:r>
              <w:rPr>
                <w:sz w:val="18"/>
              </w:rPr>
              <w:t>6 weeks</w:t>
            </w:r>
          </w:p>
        </w:tc>
        <w:tc>
          <w:tcPr>
            <w:tcW w:type="dxa" w:w="1134"/>
          </w:tcPr>
          <w:p>
            <w:r>
              <w:rPr>
                <w:sz w:val="18"/>
              </w:rPr>
              <w:t>DRC 70%</w:t>
            </w:r>
          </w:p>
        </w:tc>
        <w:tc>
          <w:tcPr>
            <w:tcW w:type="dxa" w:w="1134"/>
          </w:tcPr>
          <w:p>
            <w:r>
              <w:rPr>
                <w:sz w:val="18"/>
              </w:rPr>
              <w:t>$33,000/t</w:t>
            </w:r>
          </w:p>
        </w:tc>
        <w:tc>
          <w:tcPr>
            <w:tcW w:type="dxa" w:w="1134"/>
          </w:tcPr>
          <w:p>
            <w:r>
              <w:rPr>
                <w:sz w:val="18"/>
              </w:rPr>
              <w:t>40%</w:t>
            </w:r>
          </w:p>
        </w:tc>
      </w:tr>
      <w:tr>
        <w:tc>
          <w:tcPr>
            <w:tcW w:type="dxa" w:w="1134"/>
            <w:shd w:val="clear" w:color="auto" w:fill="f0f4f8"/>
          </w:tcPr>
          <w:p>
            <w:r>
              <w:rPr>
                <w:b/>
                <w:sz w:val="18"/>
              </w:rPr>
              <w:t>Graphite</w:t>
            </w:r>
          </w:p>
        </w:tc>
        <w:tc>
          <w:tcPr>
            <w:tcW w:type="dxa" w:w="1134"/>
            <w:shd w:val="clear" w:color="auto" w:fill="f0f4f8"/>
          </w:tcPr>
          <w:p>
            <w:r>
              <w:rPr>
                <w:sz w:val="18"/>
              </w:rPr>
              <w:t>1,300 kt/yr</w:t>
            </w:r>
          </w:p>
        </w:tc>
        <w:tc>
          <w:tcPr>
            <w:tcW w:type="dxa" w:w="1134"/>
            <w:shd w:val="clear" w:color="auto" w:fill="f0f4f8"/>
          </w:tcPr>
          <w:p>
            <w:r>
              <w:rPr>
                <w:sz w:val="18"/>
              </w:rPr>
              <w:t>30%</w:t>
            </w:r>
          </w:p>
        </w:tc>
        <w:tc>
          <w:tcPr>
            <w:tcW w:type="dxa" w:w="1134"/>
            <w:shd w:val="clear" w:color="auto" w:fill="f0f4f8"/>
          </w:tcPr>
          <w:p>
            <w:r>
              <w:rPr>
                <w:sz w:val="18"/>
              </w:rPr>
              <w:t>390 kt/yr</w:t>
            </w:r>
          </w:p>
        </w:tc>
        <w:tc>
          <w:tcPr>
            <w:tcW w:type="dxa" w:w="1134"/>
            <w:shd w:val="clear" w:color="auto" w:fill="f0f4f8"/>
          </w:tcPr>
          <w:p>
            <w:r>
              <w:rPr>
                <w:sz w:val="18"/>
              </w:rPr>
              <w:t>4 weeks</w:t>
            </w:r>
          </w:p>
        </w:tc>
        <w:tc>
          <w:tcPr>
            <w:tcW w:type="dxa" w:w="1134"/>
            <w:shd w:val="clear" w:color="auto" w:fill="f0f4f8"/>
          </w:tcPr>
          <w:p>
            <w:r>
              <w:rPr>
                <w:sz w:val="18"/>
              </w:rPr>
              <w:t>China 79%</w:t>
            </w:r>
          </w:p>
        </w:tc>
        <w:tc>
          <w:tcPr>
            <w:tcW w:type="dxa" w:w="1134"/>
            <w:shd w:val="clear" w:color="auto" w:fill="f0f4f8"/>
          </w:tcPr>
          <w:p>
            <w:r>
              <w:rPr>
                <w:sz w:val="18"/>
              </w:rPr>
              <w:t xml:space="preserve"> $1,100/t</w:t>
            </w:r>
          </w:p>
        </w:tc>
        <w:tc>
          <w:tcPr>
            <w:tcW w:type="dxa" w:w="1134"/>
            <w:shd w:val="clear" w:color="auto" w:fill="f0f4f8"/>
          </w:tcPr>
          <w:p>
            <w:r>
              <w:rPr>
                <w:sz w:val="18"/>
              </w:rPr>
              <w:t>20%</w:t>
            </w:r>
          </w:p>
        </w:tc>
      </w:tr>
      <w:tr>
        <w:tc>
          <w:tcPr>
            <w:tcW w:type="dxa" w:w="1134"/>
          </w:tcPr>
          <w:p>
            <w:r>
              <w:rPr>
                <w:b/>
                <w:sz w:val="18"/>
              </w:rPr>
              <w:t>REE (NdPr)</w:t>
            </w:r>
          </w:p>
        </w:tc>
        <w:tc>
          <w:tcPr>
            <w:tcW w:type="dxa" w:w="1134"/>
          </w:tcPr>
          <w:p>
            <w:r>
              <w:rPr>
                <w:sz w:val="18"/>
              </w:rPr>
              <w:t>40 kt/yr</w:t>
            </w:r>
          </w:p>
        </w:tc>
        <w:tc>
          <w:tcPr>
            <w:tcW w:type="dxa" w:w="1134"/>
          </w:tcPr>
          <w:p>
            <w:r>
              <w:rPr>
                <w:sz w:val="18"/>
              </w:rPr>
              <w:t>25%</w:t>
            </w:r>
          </w:p>
        </w:tc>
        <w:tc>
          <w:tcPr>
            <w:tcW w:type="dxa" w:w="1134"/>
          </w:tcPr>
          <w:p>
            <w:r>
              <w:rPr>
                <w:sz w:val="18"/>
              </w:rPr>
              <w:t>10.0 kt/yr</w:t>
            </w:r>
          </w:p>
        </w:tc>
        <w:tc>
          <w:tcPr>
            <w:tcW w:type="dxa" w:w="1134"/>
          </w:tcPr>
          <w:p>
            <w:r>
              <w:rPr>
                <w:sz w:val="18"/>
              </w:rPr>
              <w:t>8 weeks</w:t>
            </w:r>
          </w:p>
        </w:tc>
        <w:tc>
          <w:tcPr>
            <w:tcW w:type="dxa" w:w="1134"/>
          </w:tcPr>
          <w:p>
            <w:r>
              <w:rPr>
                <w:sz w:val="18"/>
              </w:rPr>
              <w:t>China 85% (processing)</w:t>
            </w:r>
          </w:p>
        </w:tc>
        <w:tc>
          <w:tcPr>
            <w:tcW w:type="dxa" w:w="1134"/>
          </w:tcPr>
          <w:p>
            <w:r>
              <w:rPr>
                <w:sz w:val="18"/>
              </w:rPr>
              <w:t>$65,000/t</w:t>
            </w:r>
          </w:p>
        </w:tc>
        <w:tc>
          <w:tcPr>
            <w:tcW w:type="dxa" w:w="1134"/>
          </w:tcPr>
          <w:p>
            <w:r>
              <w:rPr>
                <w:sz w:val="18"/>
              </w:rPr>
              <w:t>30%</w:t>
            </w:r>
          </w:p>
        </w:tc>
      </w:tr>
      <w:tr>
        <w:tc>
          <w:tcPr>
            <w:tcW w:type="dxa" w:w="1134"/>
            <w:shd w:val="clear" w:color="auto" w:fill="f0f4f8"/>
          </w:tcPr>
          <w:p>
            <w:r>
              <w:rPr>
                <w:b/>
                <w:sz w:val="18"/>
              </w:rPr>
              <w:t>SiC Wafer</w:t>
            </w:r>
          </w:p>
        </w:tc>
        <w:tc>
          <w:tcPr>
            <w:tcW w:type="dxa" w:w="1134"/>
            <w:shd w:val="clear" w:color="auto" w:fill="f0f4f8"/>
          </w:tcPr>
          <w:p>
            <w:r>
              <w:rPr>
                <w:sz w:val="18"/>
              </w:rPr>
              <w:t>2,500 t/yr</w:t>
            </w:r>
          </w:p>
        </w:tc>
        <w:tc>
          <w:tcPr>
            <w:tcW w:type="dxa" w:w="1134"/>
            <w:shd w:val="clear" w:color="auto" w:fill="f0f4f8"/>
          </w:tcPr>
          <w:p>
            <w:r>
              <w:rPr>
                <w:sz w:val="18"/>
              </w:rPr>
              <w:t>60%</w:t>
            </w:r>
          </w:p>
        </w:tc>
        <w:tc>
          <w:tcPr>
            <w:tcW w:type="dxa" w:w="1134"/>
            <w:shd w:val="clear" w:color="auto" w:fill="f0f4f8"/>
          </w:tcPr>
          <w:p>
            <w:r>
              <w:rPr>
                <w:sz w:val="18"/>
              </w:rPr>
              <w:t>1,500 t/yr</w:t>
            </w:r>
          </w:p>
        </w:tc>
        <w:tc>
          <w:tcPr>
            <w:tcW w:type="dxa" w:w="1134"/>
            <w:shd w:val="clear" w:color="auto" w:fill="f0f4f8"/>
          </w:tcPr>
          <w:p>
            <w:r>
              <w:rPr>
                <w:sz w:val="18"/>
              </w:rPr>
              <w:t>12 weeks</w:t>
            </w:r>
          </w:p>
        </w:tc>
        <w:tc>
          <w:tcPr>
            <w:tcW w:type="dxa" w:w="1134"/>
            <w:shd w:val="clear" w:color="auto" w:fill="f0f4f8"/>
          </w:tcPr>
          <w:p>
            <w:r>
              <w:rPr>
                <w:sz w:val="18"/>
              </w:rPr>
              <w:t>Wolfspeed 30%, Coherent 20%</w:t>
            </w:r>
          </w:p>
        </w:tc>
        <w:tc>
          <w:tcPr>
            <w:tcW w:type="dxa" w:w="1134"/>
            <w:shd w:val="clear" w:color="auto" w:fill="f0f4f8"/>
          </w:tcPr>
          <w:p>
            <w:r>
              <w:rPr>
                <w:sz w:val="18"/>
              </w:rPr>
              <w:t>$250/wafer</w:t>
            </w:r>
          </w:p>
        </w:tc>
        <w:tc>
          <w:tcPr>
            <w:tcW w:type="dxa" w:w="1134"/>
            <w:shd w:val="clear" w:color="auto" w:fill="f0f4f8"/>
          </w:tcPr>
          <w:p>
            <w:r>
              <w:rPr>
                <w:sz w:val="18"/>
              </w:rPr>
              <w:t>15%</w:t>
            </w:r>
          </w:p>
        </w:tc>
      </w:tr>
    </w:tbl>
    <w:p>
      <w:pPr>
        <w:spacing w:before="80" w:after="240"/>
        <w:jc w:val="center"/>
      </w:pPr>
      <w:r>
        <w:rPr>
          <w:i/>
          <w:color w:val="606070"/>
          <w:sz w:val="18"/>
        </w:rPr>
        <w:t>Table 3. Critical mineral parameters. Sources: USGS MCS 2024; IEA CMMR 2023; Yole Intelligence 2023; BNEF 2023. REE safety stock is 8 weeks (vs 4 for others) to reflect the additional processing lag introduced by Chinese refining concentration.</w:t>
      </w:r>
    </w:p>
    <w:p>
      <w:pPr>
        <w:keepNext/>
        <w:spacing w:before="280" w:after="120"/>
      </w:pPr>
      <w:r>
        <w:rPr>
          <w:b/>
          <w:color w:val="2E5F9E"/>
          <w:sz w:val="23"/>
        </w:rPr>
        <w:t>6.2  Battery Cell Manufacturers</w:t>
      </w:r>
    </w:p>
    <w:p>
      <w:pPr>
        <w:spacing w:after="100" w:lineRule="auto" w:line="276"/>
        <w:ind w:left="0"/>
      </w:pPr>
      <w:r>
        <w:rPr>
          <w:sz w:val="20"/>
        </w:rPr>
        <w:t>Table 4 lists the nine cell manufacturer agents calibrated to 2023 actual deliveries (822 GWh globally; IEA GEO 2024). Capacity is set equal to each maker's actual 2023 deliveries (market_share × 822 GWh) to initialise the model in steady state. Two new entries — CALB and AESC UK — are introduced in model version 2.0.</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417"/>
            <w:shd w:val="clear" w:color="auto" w:fill="2e5f9e"/>
            <w:vAlign w:val="center"/>
          </w:tcPr>
          <w:p>
            <w:pPr>
              <w:jc w:val="center"/>
            </w:pPr>
            <w:r>
              <w:rPr>
                <w:b/>
                <w:color w:val="FFFFFF"/>
                <w:sz w:val="18"/>
              </w:rPr>
              <w:t>Cell Maker</w:t>
            </w:r>
          </w:p>
        </w:tc>
        <w:tc>
          <w:tcPr>
            <w:tcW w:type="dxa" w:w="1417"/>
            <w:shd w:val="clear" w:color="auto" w:fill="2e5f9e"/>
            <w:vAlign w:val="center"/>
          </w:tcPr>
          <w:p>
            <w:pPr>
              <w:jc w:val="center"/>
            </w:pPr>
            <w:r>
              <w:rPr>
                <w:b/>
                <w:color w:val="FFFFFF"/>
                <w:sz w:val="18"/>
              </w:rPr>
              <w:t>Country</w:t>
            </w:r>
          </w:p>
        </w:tc>
        <w:tc>
          <w:tcPr>
            <w:tcW w:type="dxa" w:w="1247"/>
            <w:shd w:val="clear" w:color="auto" w:fill="2e5f9e"/>
            <w:vAlign w:val="center"/>
          </w:tcPr>
          <w:p>
            <w:pPr>
              <w:jc w:val="center"/>
            </w:pPr>
            <w:r>
              <w:rPr>
                <w:b/>
                <w:color w:val="FFFFFF"/>
                <w:sz w:val="18"/>
              </w:rPr>
              <w:t>Capacity</w:t>
              <w:br/>
              <w:t>(GWh/yr)</w:t>
            </w:r>
          </w:p>
        </w:tc>
        <w:tc>
          <w:tcPr>
            <w:tcW w:type="dxa" w:w="1134"/>
            <w:shd w:val="clear" w:color="auto" w:fill="2e5f9e"/>
            <w:vAlign w:val="center"/>
          </w:tcPr>
          <w:p>
            <w:pPr>
              <w:jc w:val="center"/>
            </w:pPr>
            <w:r>
              <w:rPr>
                <w:b/>
                <w:color w:val="FFFFFF"/>
                <w:sz w:val="18"/>
              </w:rPr>
              <w:t>Market</w:t>
              <w:br/>
              <w:t>share</w:t>
            </w:r>
          </w:p>
        </w:tc>
        <w:tc>
          <w:tcPr>
            <w:tcW w:type="dxa" w:w="1020"/>
            <w:shd w:val="clear" w:color="auto" w:fill="2e5f9e"/>
            <w:vAlign w:val="center"/>
          </w:tcPr>
          <w:p>
            <w:pPr>
              <w:jc w:val="center"/>
            </w:pPr>
            <w:r>
              <w:rPr>
                <w:b/>
                <w:color w:val="FFFFFF"/>
                <w:sz w:val="18"/>
              </w:rPr>
              <w:t>LFP</w:t>
              <w:br/>
              <w:t>fraction</w:t>
            </w:r>
          </w:p>
        </w:tc>
        <w:tc>
          <w:tcPr>
            <w:tcW w:type="dxa" w:w="1020"/>
            <w:shd w:val="clear" w:color="auto" w:fill="2e5f9e"/>
            <w:vAlign w:val="center"/>
          </w:tcPr>
          <w:p>
            <w:pPr>
              <w:jc w:val="center"/>
            </w:pPr>
            <w:r>
              <w:rPr>
                <w:b/>
                <w:color w:val="FFFFFF"/>
                <w:sz w:val="18"/>
              </w:rPr>
              <w:t>NMC</w:t>
              <w:br/>
              <w:t>fraction</w:t>
            </w:r>
          </w:p>
        </w:tc>
        <w:tc>
          <w:tcPr>
            <w:tcW w:type="dxa" w:w="1587"/>
            <w:shd w:val="clear" w:color="auto" w:fill="2e5f9e"/>
            <w:vAlign w:val="center"/>
          </w:tcPr>
          <w:p>
            <w:pPr>
              <w:jc w:val="center"/>
            </w:pPr>
            <w:r>
              <w:rPr>
                <w:b/>
                <w:color w:val="FFFFFF"/>
                <w:sz w:val="18"/>
              </w:rPr>
              <w:t>Cobalt</w:t>
              <w:br/>
              <w:t>exposure</w:t>
            </w:r>
          </w:p>
        </w:tc>
        <w:tc>
          <w:tcPr>
            <w:tcW w:type="dxa" w:w="1077"/>
            <w:shd w:val="clear" w:color="auto" w:fill="2e5f9e"/>
            <w:vAlign w:val="center"/>
          </w:tcPr>
          <w:p>
            <w:pPr>
              <w:jc w:val="center"/>
            </w:pPr>
            <w:r>
              <w:rPr>
                <w:b/>
                <w:color w:val="FFFFFF"/>
                <w:sz w:val="18"/>
              </w:rPr>
              <w:t>Safety</w:t>
              <w:br/>
              <w:t>stock</w:t>
            </w:r>
          </w:p>
        </w:tc>
      </w:tr>
      <w:tr>
        <w:tc>
          <w:tcPr>
            <w:tcW w:type="dxa" w:w="1134"/>
            <w:shd w:val="clear" w:color="auto" w:fill="f0f4f8"/>
          </w:tcPr>
          <w:p>
            <w:r>
              <w:rPr>
                <w:b/>
                <w:sz w:val="18"/>
              </w:rPr>
              <w:t>CATL</w:t>
            </w:r>
          </w:p>
        </w:tc>
        <w:tc>
          <w:tcPr>
            <w:tcW w:type="dxa" w:w="1134"/>
            <w:shd w:val="clear" w:color="auto" w:fill="f0f4f8"/>
          </w:tcPr>
          <w:p>
            <w:r>
              <w:rPr>
                <w:sz w:val="18"/>
              </w:rPr>
              <w:t>China</w:t>
            </w:r>
          </w:p>
        </w:tc>
        <w:tc>
          <w:tcPr>
            <w:tcW w:type="dxa" w:w="1134"/>
            <w:shd w:val="clear" w:color="auto" w:fill="f0f4f8"/>
          </w:tcPr>
          <w:p>
            <w:r>
              <w:rPr>
                <w:sz w:val="18"/>
              </w:rPr>
              <w:t>304.1</w:t>
            </w:r>
          </w:p>
        </w:tc>
        <w:tc>
          <w:tcPr>
            <w:tcW w:type="dxa" w:w="1134"/>
            <w:shd w:val="clear" w:color="auto" w:fill="f0f4f8"/>
          </w:tcPr>
          <w:p>
            <w:r>
              <w:rPr>
                <w:sz w:val="18"/>
              </w:rPr>
              <w:t>37.0%</w:t>
            </w:r>
          </w:p>
        </w:tc>
        <w:tc>
          <w:tcPr>
            <w:tcW w:type="dxa" w:w="1134"/>
            <w:shd w:val="clear" w:color="auto" w:fill="f0f4f8"/>
          </w:tcPr>
          <w:p>
            <w:r>
              <w:rPr>
                <w:sz w:val="18"/>
              </w:rPr>
              <w:t>45%</w:t>
            </w:r>
          </w:p>
        </w:tc>
        <w:tc>
          <w:tcPr>
            <w:tcW w:type="dxa" w:w="1134"/>
            <w:shd w:val="clear" w:color="auto" w:fill="f0f4f8"/>
          </w:tcPr>
          <w:p>
            <w:r>
              <w:rPr>
                <w:sz w:val="18"/>
              </w:rPr>
              <w:t>55%</w:t>
            </w:r>
          </w:p>
        </w:tc>
        <w:tc>
          <w:tcPr>
            <w:tcW w:type="dxa" w:w="1134"/>
            <w:shd w:val="clear" w:color="auto" w:fill="f0f4f8"/>
          </w:tcPr>
          <w:p>
            <w:r>
              <w:rPr>
                <w:sz w:val="18"/>
              </w:rPr>
              <w:t>Partial (NMC 55%)</w:t>
            </w:r>
          </w:p>
        </w:tc>
        <w:tc>
          <w:tcPr>
            <w:tcW w:type="dxa" w:w="1134"/>
            <w:shd w:val="clear" w:color="auto" w:fill="f0f4f8"/>
          </w:tcPr>
          <w:p>
            <w:r>
              <w:rPr>
                <w:sz w:val="18"/>
              </w:rPr>
              <w:t>4 wk</w:t>
            </w:r>
          </w:p>
        </w:tc>
      </w:tr>
      <w:tr>
        <w:tc>
          <w:tcPr>
            <w:tcW w:type="dxa" w:w="1134"/>
          </w:tcPr>
          <w:p>
            <w:r>
              <w:rPr>
                <w:b/>
                <w:sz w:val="18"/>
              </w:rPr>
              <w:t>BYD Cells</w:t>
            </w:r>
          </w:p>
        </w:tc>
        <w:tc>
          <w:tcPr>
            <w:tcW w:type="dxa" w:w="1134"/>
          </w:tcPr>
          <w:p>
            <w:r>
              <w:rPr>
                <w:sz w:val="18"/>
              </w:rPr>
              <w:t>China</w:t>
            </w:r>
          </w:p>
        </w:tc>
        <w:tc>
          <w:tcPr>
            <w:tcW w:type="dxa" w:w="1134"/>
          </w:tcPr>
          <w:p>
            <w:r>
              <w:rPr>
                <w:sz w:val="18"/>
              </w:rPr>
              <w:t>115.1</w:t>
            </w:r>
          </w:p>
        </w:tc>
        <w:tc>
          <w:tcPr>
            <w:tcW w:type="dxa" w:w="1134"/>
          </w:tcPr>
          <w:p>
            <w:r>
              <w:rPr>
                <w:sz w:val="18"/>
              </w:rPr>
              <w:t>14.0%</w:t>
            </w:r>
          </w:p>
        </w:tc>
        <w:tc>
          <w:tcPr>
            <w:tcW w:type="dxa" w:w="1134"/>
          </w:tcPr>
          <w:p>
            <w:r>
              <w:rPr>
                <w:sz w:val="18"/>
              </w:rPr>
              <w:t>90%</w:t>
            </w:r>
          </w:p>
        </w:tc>
        <w:tc>
          <w:tcPr>
            <w:tcW w:type="dxa" w:w="1134"/>
          </w:tcPr>
          <w:p>
            <w:r>
              <w:rPr>
                <w:sz w:val="18"/>
              </w:rPr>
              <w:t>10%</w:t>
            </w:r>
          </w:p>
        </w:tc>
        <w:tc>
          <w:tcPr>
            <w:tcW w:type="dxa" w:w="1134"/>
          </w:tcPr>
          <w:p>
            <w:r>
              <w:rPr>
                <w:sz w:val="18"/>
              </w:rPr>
              <w:t>Minimal (LFP 90%)</w:t>
            </w:r>
          </w:p>
        </w:tc>
        <w:tc>
          <w:tcPr>
            <w:tcW w:type="dxa" w:w="1134"/>
          </w:tcPr>
          <w:p>
            <w:r>
              <w:rPr>
                <w:sz w:val="18"/>
              </w:rPr>
              <w:t>4 wk</w:t>
            </w:r>
          </w:p>
        </w:tc>
      </w:tr>
      <w:tr>
        <w:tc>
          <w:tcPr>
            <w:tcW w:type="dxa" w:w="1134"/>
            <w:shd w:val="clear" w:color="auto" w:fill="f0f4f8"/>
          </w:tcPr>
          <w:p>
            <w:r>
              <w:rPr>
                <w:b/>
                <w:sz w:val="18"/>
              </w:rPr>
              <w:t>LG ES</w:t>
            </w:r>
          </w:p>
        </w:tc>
        <w:tc>
          <w:tcPr>
            <w:tcW w:type="dxa" w:w="1134"/>
            <w:shd w:val="clear" w:color="auto" w:fill="f0f4f8"/>
          </w:tcPr>
          <w:p>
            <w:r>
              <w:rPr>
                <w:sz w:val="18"/>
              </w:rPr>
              <w:t>South Korea</w:t>
            </w:r>
          </w:p>
        </w:tc>
        <w:tc>
          <w:tcPr>
            <w:tcW w:type="dxa" w:w="1134"/>
            <w:shd w:val="clear" w:color="auto" w:fill="f0f4f8"/>
          </w:tcPr>
          <w:p>
            <w:r>
              <w:rPr>
                <w:sz w:val="18"/>
              </w:rPr>
              <w:t>106.9</w:t>
            </w:r>
          </w:p>
        </w:tc>
        <w:tc>
          <w:tcPr>
            <w:tcW w:type="dxa" w:w="1134"/>
            <w:shd w:val="clear" w:color="auto" w:fill="f0f4f8"/>
          </w:tcPr>
          <w:p>
            <w:r>
              <w:rPr>
                <w:sz w:val="18"/>
              </w:rPr>
              <w:t>13.0%</w:t>
            </w:r>
          </w:p>
        </w:tc>
        <w:tc>
          <w:tcPr>
            <w:tcW w:type="dxa" w:w="1134"/>
            <w:shd w:val="clear" w:color="auto" w:fill="f0f4f8"/>
          </w:tcPr>
          <w:p>
            <w:r>
              <w:rPr>
                <w:sz w:val="18"/>
              </w:rPr>
              <w:t>5%</w:t>
            </w:r>
          </w:p>
        </w:tc>
        <w:tc>
          <w:tcPr>
            <w:tcW w:type="dxa" w:w="1134"/>
            <w:shd w:val="clear" w:color="auto" w:fill="f0f4f8"/>
          </w:tcPr>
          <w:p>
            <w:r>
              <w:rPr>
                <w:sz w:val="18"/>
              </w:rPr>
              <w:t>95%</w:t>
            </w:r>
          </w:p>
        </w:tc>
        <w:tc>
          <w:tcPr>
            <w:tcW w:type="dxa" w:w="1134"/>
            <w:shd w:val="clear" w:color="auto" w:fill="f0f4f8"/>
          </w:tcPr>
          <w:p>
            <w:r>
              <w:rPr>
                <w:sz w:val="18"/>
              </w:rPr>
              <w:t>High (NMC 95%)</w:t>
            </w:r>
          </w:p>
        </w:tc>
        <w:tc>
          <w:tcPr>
            <w:tcW w:type="dxa" w:w="1134"/>
            <w:shd w:val="clear" w:color="auto" w:fill="f0f4f8"/>
          </w:tcPr>
          <w:p>
            <w:r>
              <w:rPr>
                <w:sz w:val="18"/>
              </w:rPr>
              <w:t>6 wk</w:t>
            </w:r>
          </w:p>
        </w:tc>
      </w:tr>
      <w:tr>
        <w:tc>
          <w:tcPr>
            <w:tcW w:type="dxa" w:w="1134"/>
          </w:tcPr>
          <w:p>
            <w:r>
              <w:rPr>
                <w:b/>
                <w:sz w:val="18"/>
              </w:rPr>
              <w:t>Panasonic</w:t>
            </w:r>
          </w:p>
        </w:tc>
        <w:tc>
          <w:tcPr>
            <w:tcW w:type="dxa" w:w="1134"/>
          </w:tcPr>
          <w:p>
            <w:r>
              <w:rPr>
                <w:sz w:val="18"/>
              </w:rPr>
              <w:t>Japan</w:t>
            </w:r>
          </w:p>
        </w:tc>
        <w:tc>
          <w:tcPr>
            <w:tcW w:type="dxa" w:w="1134"/>
          </w:tcPr>
          <w:p>
            <w:r>
              <w:rPr>
                <w:sz w:val="18"/>
              </w:rPr>
              <w:t>57.5</w:t>
            </w:r>
          </w:p>
        </w:tc>
        <w:tc>
          <w:tcPr>
            <w:tcW w:type="dxa" w:w="1134"/>
          </w:tcPr>
          <w:p>
            <w:r>
              <w:rPr>
                <w:sz w:val="18"/>
              </w:rPr>
              <w:t>7.0%</w:t>
            </w:r>
          </w:p>
        </w:tc>
        <w:tc>
          <w:tcPr>
            <w:tcW w:type="dxa" w:w="1134"/>
          </w:tcPr>
          <w:p>
            <w:r>
              <w:rPr>
                <w:sz w:val="18"/>
              </w:rPr>
              <w:t>0%</w:t>
            </w:r>
          </w:p>
        </w:tc>
        <w:tc>
          <w:tcPr>
            <w:tcW w:type="dxa" w:w="1134"/>
          </w:tcPr>
          <w:p>
            <w:r>
              <w:rPr>
                <w:sz w:val="18"/>
              </w:rPr>
              <w:t>100%</w:t>
            </w:r>
          </w:p>
        </w:tc>
        <w:tc>
          <w:tcPr>
            <w:tcW w:type="dxa" w:w="1134"/>
          </w:tcPr>
          <w:p>
            <w:r>
              <w:rPr>
                <w:sz w:val="18"/>
              </w:rPr>
              <w:t>Full (NCA/NMC)</w:t>
            </w:r>
          </w:p>
        </w:tc>
        <w:tc>
          <w:tcPr>
            <w:tcW w:type="dxa" w:w="1134"/>
          </w:tcPr>
          <w:p>
            <w:r>
              <w:rPr>
                <w:sz w:val="18"/>
              </w:rPr>
              <w:t>6 wk</w:t>
            </w:r>
          </w:p>
        </w:tc>
      </w:tr>
      <w:tr>
        <w:tc>
          <w:tcPr>
            <w:tcW w:type="dxa" w:w="1134"/>
            <w:shd w:val="clear" w:color="auto" w:fill="f0f4f8"/>
          </w:tcPr>
          <w:p>
            <w:r>
              <w:rPr>
                <w:b/>
                <w:sz w:val="18"/>
              </w:rPr>
              <w:t>Samsung SDI</w:t>
            </w:r>
          </w:p>
        </w:tc>
        <w:tc>
          <w:tcPr>
            <w:tcW w:type="dxa" w:w="1134"/>
            <w:shd w:val="clear" w:color="auto" w:fill="f0f4f8"/>
          </w:tcPr>
          <w:p>
            <w:r>
              <w:rPr>
                <w:sz w:val="18"/>
              </w:rPr>
              <w:t>South Korea</w:t>
            </w:r>
          </w:p>
        </w:tc>
        <w:tc>
          <w:tcPr>
            <w:tcW w:type="dxa" w:w="1134"/>
            <w:shd w:val="clear" w:color="auto" w:fill="f0f4f8"/>
          </w:tcPr>
          <w:p>
            <w:r>
              <w:rPr>
                <w:sz w:val="18"/>
              </w:rPr>
              <w:t>49.3</w:t>
            </w:r>
          </w:p>
        </w:tc>
        <w:tc>
          <w:tcPr>
            <w:tcW w:type="dxa" w:w="1134"/>
            <w:shd w:val="clear" w:color="auto" w:fill="f0f4f8"/>
          </w:tcPr>
          <w:p>
            <w:r>
              <w:rPr>
                <w:sz w:val="18"/>
              </w:rPr>
              <w:t>6.0%</w:t>
            </w:r>
          </w:p>
        </w:tc>
        <w:tc>
          <w:tcPr>
            <w:tcW w:type="dxa" w:w="1134"/>
            <w:shd w:val="clear" w:color="auto" w:fill="f0f4f8"/>
          </w:tcPr>
          <w:p>
            <w:r>
              <w:rPr>
                <w:sz w:val="18"/>
              </w:rPr>
              <w:t>0%</w:t>
            </w:r>
          </w:p>
        </w:tc>
        <w:tc>
          <w:tcPr>
            <w:tcW w:type="dxa" w:w="1134"/>
            <w:shd w:val="clear" w:color="auto" w:fill="f0f4f8"/>
          </w:tcPr>
          <w:p>
            <w:r>
              <w:rPr>
                <w:sz w:val="18"/>
              </w:rPr>
              <w:t>100%</w:t>
            </w:r>
          </w:p>
        </w:tc>
        <w:tc>
          <w:tcPr>
            <w:tcW w:type="dxa" w:w="1134"/>
            <w:shd w:val="clear" w:color="auto" w:fill="f0f4f8"/>
          </w:tcPr>
          <w:p>
            <w:r>
              <w:rPr>
                <w:sz w:val="18"/>
              </w:rPr>
              <w:t>Full (NMC)</w:t>
            </w:r>
          </w:p>
        </w:tc>
        <w:tc>
          <w:tcPr>
            <w:tcW w:type="dxa" w:w="1134"/>
            <w:shd w:val="clear" w:color="auto" w:fill="f0f4f8"/>
          </w:tcPr>
          <w:p>
            <w:r>
              <w:rPr>
                <w:sz w:val="18"/>
              </w:rPr>
              <w:t>5 wk</w:t>
            </w:r>
          </w:p>
        </w:tc>
      </w:tr>
      <w:tr>
        <w:tc>
          <w:tcPr>
            <w:tcW w:type="dxa" w:w="1134"/>
          </w:tcPr>
          <w:p>
            <w:r>
              <w:rPr>
                <w:b/>
                <w:sz w:val="18"/>
              </w:rPr>
              <w:t>SK On</w:t>
            </w:r>
          </w:p>
        </w:tc>
        <w:tc>
          <w:tcPr>
            <w:tcW w:type="dxa" w:w="1134"/>
          </w:tcPr>
          <w:p>
            <w:r>
              <w:rPr>
                <w:sz w:val="18"/>
              </w:rPr>
              <w:t>South Korea</w:t>
            </w:r>
          </w:p>
        </w:tc>
        <w:tc>
          <w:tcPr>
            <w:tcW w:type="dxa" w:w="1134"/>
          </w:tcPr>
          <w:p>
            <w:r>
              <w:rPr>
                <w:sz w:val="18"/>
              </w:rPr>
              <w:t>41.1</w:t>
            </w:r>
          </w:p>
        </w:tc>
        <w:tc>
          <w:tcPr>
            <w:tcW w:type="dxa" w:w="1134"/>
          </w:tcPr>
          <w:p>
            <w:r>
              <w:rPr>
                <w:sz w:val="18"/>
              </w:rPr>
              <w:t>5.0%</w:t>
            </w:r>
          </w:p>
        </w:tc>
        <w:tc>
          <w:tcPr>
            <w:tcW w:type="dxa" w:w="1134"/>
          </w:tcPr>
          <w:p>
            <w:r>
              <w:rPr>
                <w:sz w:val="18"/>
              </w:rPr>
              <w:t>0%</w:t>
            </w:r>
          </w:p>
        </w:tc>
        <w:tc>
          <w:tcPr>
            <w:tcW w:type="dxa" w:w="1134"/>
          </w:tcPr>
          <w:p>
            <w:r>
              <w:rPr>
                <w:sz w:val="18"/>
              </w:rPr>
              <w:t>100%</w:t>
            </w:r>
          </w:p>
        </w:tc>
        <w:tc>
          <w:tcPr>
            <w:tcW w:type="dxa" w:w="1134"/>
          </w:tcPr>
          <w:p>
            <w:r>
              <w:rPr>
                <w:sz w:val="18"/>
              </w:rPr>
              <w:t>Full (NMC)</w:t>
            </w:r>
          </w:p>
        </w:tc>
        <w:tc>
          <w:tcPr>
            <w:tcW w:type="dxa" w:w="1134"/>
          </w:tcPr>
          <w:p>
            <w:r>
              <w:rPr>
                <w:sz w:val="18"/>
              </w:rPr>
              <w:t>5 wk</w:t>
            </w:r>
          </w:p>
        </w:tc>
      </w:tr>
      <w:tr>
        <w:tc>
          <w:tcPr>
            <w:tcW w:type="dxa" w:w="1134"/>
            <w:shd w:val="clear" w:color="auto" w:fill="f0f4f8"/>
          </w:tcPr>
          <w:p>
            <w:r>
              <w:rPr>
                <w:b/>
                <w:sz w:val="18"/>
              </w:rPr>
              <w:t>CALB ★</w:t>
            </w:r>
          </w:p>
        </w:tc>
        <w:tc>
          <w:tcPr>
            <w:tcW w:type="dxa" w:w="1134"/>
            <w:shd w:val="clear" w:color="auto" w:fill="f0f4f8"/>
          </w:tcPr>
          <w:p>
            <w:r>
              <w:rPr>
                <w:sz w:val="18"/>
              </w:rPr>
              <w:t>China</w:t>
            </w:r>
          </w:p>
        </w:tc>
        <w:tc>
          <w:tcPr>
            <w:tcW w:type="dxa" w:w="1134"/>
            <w:shd w:val="clear" w:color="auto" w:fill="f0f4f8"/>
          </w:tcPr>
          <w:p>
            <w:r>
              <w:rPr>
                <w:sz w:val="18"/>
              </w:rPr>
              <w:t>41.1</w:t>
            </w:r>
          </w:p>
        </w:tc>
        <w:tc>
          <w:tcPr>
            <w:tcW w:type="dxa" w:w="1134"/>
            <w:shd w:val="clear" w:color="auto" w:fill="f0f4f8"/>
          </w:tcPr>
          <w:p>
            <w:r>
              <w:rPr>
                <w:sz w:val="18"/>
              </w:rPr>
              <w:t>5.0%</w:t>
            </w:r>
          </w:p>
        </w:tc>
        <w:tc>
          <w:tcPr>
            <w:tcW w:type="dxa" w:w="1134"/>
            <w:shd w:val="clear" w:color="auto" w:fill="f0f4f8"/>
          </w:tcPr>
          <w:p>
            <w:r>
              <w:rPr>
                <w:sz w:val="18"/>
              </w:rPr>
              <w:t>80%</w:t>
            </w:r>
          </w:p>
        </w:tc>
        <w:tc>
          <w:tcPr>
            <w:tcW w:type="dxa" w:w="1134"/>
            <w:shd w:val="clear" w:color="auto" w:fill="f0f4f8"/>
          </w:tcPr>
          <w:p>
            <w:r>
              <w:rPr>
                <w:sz w:val="18"/>
              </w:rPr>
              <w:t>20%</w:t>
            </w:r>
          </w:p>
        </w:tc>
        <w:tc>
          <w:tcPr>
            <w:tcW w:type="dxa" w:w="1134"/>
            <w:shd w:val="clear" w:color="auto" w:fill="f0f4f8"/>
          </w:tcPr>
          <w:p>
            <w:r>
              <w:rPr>
                <w:sz w:val="18"/>
              </w:rPr>
              <w:t>Low (LFP 80%)</w:t>
            </w:r>
          </w:p>
        </w:tc>
        <w:tc>
          <w:tcPr>
            <w:tcW w:type="dxa" w:w="1134"/>
            <w:shd w:val="clear" w:color="auto" w:fill="f0f4f8"/>
          </w:tcPr>
          <w:p>
            <w:r>
              <w:rPr>
                <w:sz w:val="18"/>
              </w:rPr>
              <w:t>4 wk</w:t>
            </w:r>
          </w:p>
        </w:tc>
      </w:tr>
      <w:tr>
        <w:tc>
          <w:tcPr>
            <w:tcW w:type="dxa" w:w="1134"/>
          </w:tcPr>
          <w:p>
            <w:r>
              <w:rPr>
                <w:b/>
                <w:sz w:val="18"/>
              </w:rPr>
              <w:t>AESC UK ★</w:t>
            </w:r>
          </w:p>
        </w:tc>
        <w:tc>
          <w:tcPr>
            <w:tcW w:type="dxa" w:w="1134"/>
          </w:tcPr>
          <w:p>
            <w:r>
              <w:rPr>
                <w:sz w:val="18"/>
              </w:rPr>
              <w:t>UK</w:t>
            </w:r>
          </w:p>
        </w:tc>
        <w:tc>
          <w:tcPr>
            <w:tcW w:type="dxa" w:w="1134"/>
          </w:tcPr>
          <w:p>
            <w:r>
              <w:rPr>
                <w:sz w:val="18"/>
              </w:rPr>
              <w:t>1.6</w:t>
            </w:r>
          </w:p>
        </w:tc>
        <w:tc>
          <w:tcPr>
            <w:tcW w:type="dxa" w:w="1134"/>
          </w:tcPr>
          <w:p>
            <w:r>
              <w:rPr>
                <w:sz w:val="18"/>
              </w:rPr>
              <w:t>0.2%</w:t>
            </w:r>
          </w:p>
        </w:tc>
        <w:tc>
          <w:tcPr>
            <w:tcW w:type="dxa" w:w="1134"/>
          </w:tcPr>
          <w:p>
            <w:r>
              <w:rPr>
                <w:sz w:val="18"/>
              </w:rPr>
              <w:t>0%</w:t>
            </w:r>
          </w:p>
        </w:tc>
        <w:tc>
          <w:tcPr>
            <w:tcW w:type="dxa" w:w="1134"/>
          </w:tcPr>
          <w:p>
            <w:r>
              <w:rPr>
                <w:sz w:val="18"/>
              </w:rPr>
              <w:t>100%</w:t>
            </w:r>
          </w:p>
        </w:tc>
        <w:tc>
          <w:tcPr>
            <w:tcW w:type="dxa" w:w="1134"/>
          </w:tcPr>
          <w:p>
            <w:r>
              <w:rPr>
                <w:sz w:val="18"/>
              </w:rPr>
              <w:t>Full (NMC 811)</w:t>
            </w:r>
          </w:p>
        </w:tc>
        <w:tc>
          <w:tcPr>
            <w:tcW w:type="dxa" w:w="1134"/>
          </w:tcPr>
          <w:p>
            <w:r>
              <w:rPr>
                <w:sz w:val="18"/>
              </w:rPr>
              <w:t>5 wk</w:t>
            </w:r>
          </w:p>
        </w:tc>
      </w:tr>
      <w:tr>
        <w:tc>
          <w:tcPr>
            <w:tcW w:type="dxa" w:w="1134"/>
            <w:shd w:val="clear" w:color="auto" w:fill="f0f4f8"/>
          </w:tcPr>
          <w:p>
            <w:r>
              <w:rPr>
                <w:b/>
                <w:sz w:val="18"/>
              </w:rPr>
              <w:t>Others</w:t>
            </w:r>
          </w:p>
        </w:tc>
        <w:tc>
          <w:tcPr>
            <w:tcW w:type="dxa" w:w="1134"/>
            <w:shd w:val="clear" w:color="auto" w:fill="f0f4f8"/>
          </w:tcPr>
          <w:p>
            <w:r>
              <w:rPr>
                <w:sz w:val="18"/>
              </w:rPr>
              <w:t>Mixed</w:t>
            </w:r>
          </w:p>
        </w:tc>
        <w:tc>
          <w:tcPr>
            <w:tcW w:type="dxa" w:w="1134"/>
            <w:shd w:val="clear" w:color="auto" w:fill="f0f4f8"/>
          </w:tcPr>
          <w:p>
            <w:r>
              <w:rPr>
                <w:sz w:val="18"/>
              </w:rPr>
              <w:t>105.2</w:t>
            </w:r>
          </w:p>
        </w:tc>
        <w:tc>
          <w:tcPr>
            <w:tcW w:type="dxa" w:w="1134"/>
            <w:shd w:val="clear" w:color="auto" w:fill="f0f4f8"/>
          </w:tcPr>
          <w:p>
            <w:r>
              <w:rPr>
                <w:sz w:val="18"/>
              </w:rPr>
              <w:t>12.8%</w:t>
            </w:r>
          </w:p>
        </w:tc>
        <w:tc>
          <w:tcPr>
            <w:tcW w:type="dxa" w:w="1134"/>
            <w:shd w:val="clear" w:color="auto" w:fill="f0f4f8"/>
          </w:tcPr>
          <w:p>
            <w:r>
              <w:rPr>
                <w:sz w:val="18"/>
              </w:rPr>
              <w:t>50%</w:t>
            </w:r>
          </w:p>
        </w:tc>
        <w:tc>
          <w:tcPr>
            <w:tcW w:type="dxa" w:w="1134"/>
            <w:shd w:val="clear" w:color="auto" w:fill="f0f4f8"/>
          </w:tcPr>
          <w:p>
            <w:r>
              <w:rPr>
                <w:sz w:val="18"/>
              </w:rPr>
              <w:t>50%</w:t>
            </w:r>
          </w:p>
        </w:tc>
        <w:tc>
          <w:tcPr>
            <w:tcW w:type="dxa" w:w="1134"/>
            <w:shd w:val="clear" w:color="auto" w:fill="f0f4f8"/>
          </w:tcPr>
          <w:p>
            <w:r>
              <w:rPr>
                <w:sz w:val="18"/>
              </w:rPr>
              <w:t>Moderate</w:t>
            </w:r>
          </w:p>
        </w:tc>
        <w:tc>
          <w:tcPr>
            <w:tcW w:type="dxa" w:w="1134"/>
            <w:shd w:val="clear" w:color="auto" w:fill="f0f4f8"/>
          </w:tcPr>
          <w:p>
            <w:r>
              <w:rPr>
                <w:sz w:val="18"/>
              </w:rPr>
              <w:t>4 wk</w:t>
            </w:r>
          </w:p>
        </w:tc>
      </w:tr>
    </w:tbl>
    <w:p>
      <w:pPr>
        <w:spacing w:before="80" w:after="240"/>
        <w:jc w:val="center"/>
      </w:pPr>
      <w:r>
        <w:rPr>
          <w:i/>
          <w:color w:val="606070"/>
          <w:sz w:val="18"/>
        </w:rPr>
        <w:t>Table 4. Battery cell manufacturer agents. Entries marked ★ are newly added in version 2.0. CALB = China Aviation Lithium Battery (SNE Research 2023, CALB HK IPO prospectus 2022). AESC UK = Envision AESC Sunderland plant (AESC press release Nov 2023; UK BEIS ATF grant announcement 2023). Market shares sum to 100.0%.</w:t>
      </w:r>
    </w:p>
    <w:p>
      <w:pPr>
        <w:keepNext/>
        <w:spacing w:before="280" w:after="120"/>
      </w:pPr>
      <w:r>
        <w:rPr>
          <w:b/>
          <w:color w:val="2E5F9E"/>
          <w:sz w:val="23"/>
        </w:rPr>
        <w:t>6.3  Tier-1 Sub-System Suppliers</w:t>
      </w:r>
    </w:p>
    <w:p>
      <w:pPr>
        <w:spacing w:after="100" w:lineRule="auto" w:line="276"/>
        <w:ind w:left="0"/>
      </w:pPr>
      <w:r>
        <w:rPr>
          <w:sz w:val="20"/>
        </w:rPr>
        <w:t>Four Tier-1 agents represent aggregate global sub-system suppliers. Table 5 summarises their parameters.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587"/>
            <w:shd w:val="clear" w:color="auto" w:fill="2e5f9e"/>
            <w:vAlign w:val="center"/>
          </w:tcPr>
          <w:p>
            <w:pPr>
              <w:jc w:val="center"/>
            </w:pPr>
            <w:r>
              <w:rPr>
                <w:b/>
                <w:color w:val="FFFFFF"/>
                <w:sz w:val="18"/>
              </w:rPr>
              <w:t>Component</w:t>
            </w:r>
          </w:p>
        </w:tc>
        <w:tc>
          <w:tcPr>
            <w:tcW w:type="dxa" w:w="1701"/>
            <w:shd w:val="clear" w:color="auto" w:fill="2e5f9e"/>
            <w:vAlign w:val="center"/>
          </w:tcPr>
          <w:p>
            <w:pPr>
              <w:jc w:val="center"/>
            </w:pPr>
            <w:r>
              <w:rPr>
                <w:b/>
                <w:color w:val="FFFFFF"/>
                <w:sz w:val="18"/>
              </w:rPr>
              <w:t>Key critical input</w:t>
            </w:r>
          </w:p>
        </w:tc>
        <w:tc>
          <w:tcPr>
            <w:tcW w:type="dxa" w:w="1247"/>
            <w:shd w:val="clear" w:color="auto" w:fill="2e5f9e"/>
            <w:vAlign w:val="center"/>
          </w:tcPr>
          <w:p>
            <w:pPr>
              <w:jc w:val="center"/>
            </w:pPr>
            <w:r>
              <w:rPr>
                <w:b/>
                <w:color w:val="FFFFFF"/>
                <w:sz w:val="18"/>
              </w:rPr>
              <w:t>Input dependency</w:t>
            </w:r>
          </w:p>
        </w:tc>
        <w:tc>
          <w:tcPr>
            <w:tcW w:type="dxa" w:w="1134"/>
            <w:shd w:val="clear" w:color="auto" w:fill="2e5f9e"/>
            <w:vAlign w:val="center"/>
          </w:tcPr>
          <w:p>
            <w:pPr>
              <w:jc w:val="center"/>
            </w:pPr>
            <w:r>
              <w:rPr>
                <w:b/>
                <w:color w:val="FFFFFF"/>
                <w:sz w:val="18"/>
              </w:rPr>
              <w:t>Lead time</w:t>
            </w:r>
          </w:p>
        </w:tc>
        <w:tc>
          <w:tcPr>
            <w:tcW w:type="dxa" w:w="1134"/>
            <w:shd w:val="clear" w:color="auto" w:fill="2e5f9e"/>
            <w:vAlign w:val="center"/>
          </w:tcPr>
          <w:p>
            <w:pPr>
              <w:jc w:val="center"/>
            </w:pPr>
            <w:r>
              <w:rPr>
                <w:b/>
                <w:color w:val="FFFFFF"/>
                <w:sz w:val="18"/>
              </w:rPr>
              <w:t>Safety stock</w:t>
            </w:r>
          </w:p>
        </w:tc>
        <w:tc>
          <w:tcPr>
            <w:tcW w:type="dxa" w:w="1247"/>
            <w:shd w:val="clear" w:color="auto" w:fill="2e5f9e"/>
            <w:vAlign w:val="center"/>
          </w:tcPr>
          <w:p>
            <w:pPr>
              <w:jc w:val="center"/>
            </w:pPr>
            <w:r>
              <w:rPr>
                <w:b/>
                <w:color w:val="FFFFFF"/>
                <w:sz w:val="18"/>
              </w:rPr>
              <w:t>Recovery rate</w:t>
            </w:r>
          </w:p>
        </w:tc>
        <w:tc>
          <w:tcPr>
            <w:tcW w:type="dxa" w:w="1871"/>
            <w:shd w:val="clear" w:color="auto" w:fill="2e5f9e"/>
            <w:vAlign w:val="center"/>
          </w:tcPr>
          <w:p>
            <w:pPr>
              <w:jc w:val="center"/>
            </w:pPr>
            <w:r>
              <w:rPr>
                <w:b/>
                <w:color w:val="FFFFFF"/>
                <w:sz w:val="18"/>
              </w:rPr>
              <w:t>Primary risk</w:t>
            </w:r>
          </w:p>
        </w:tc>
      </w:tr>
      <w:tr>
        <w:tc>
          <w:tcPr>
            <w:tcW w:type="dxa" w:w="1296"/>
            <w:shd w:val="clear" w:color="auto" w:fill="f0f4f8"/>
          </w:tcPr>
          <w:p>
            <w:r>
              <w:rPr>
                <w:b/>
                <w:sz w:val="18"/>
              </w:rPr>
              <w:t>Battery Pack</w:t>
            </w:r>
          </w:p>
        </w:tc>
        <w:tc>
          <w:tcPr>
            <w:tcW w:type="dxa" w:w="1296"/>
            <w:shd w:val="clear" w:color="auto" w:fill="f0f4f8"/>
          </w:tcPr>
          <w:p>
            <w:r>
              <w:rPr>
                <w:sz w:val="18"/>
              </w:rPr>
              <w:t>Cells (GWh)</w:t>
            </w:r>
          </w:p>
        </w:tc>
        <w:tc>
          <w:tcPr>
            <w:tcW w:type="dxa" w:w="1296"/>
            <w:shd w:val="clear" w:color="auto" w:fill="f0f4f8"/>
          </w:tcPr>
          <w:p>
            <w:r>
              <w:rPr>
                <w:sz w:val="18"/>
              </w:rPr>
              <w:t>100%</w:t>
            </w:r>
          </w:p>
        </w:tc>
        <w:tc>
          <w:tcPr>
            <w:tcW w:type="dxa" w:w="1296"/>
            <w:shd w:val="clear" w:color="auto" w:fill="f0f4f8"/>
          </w:tcPr>
          <w:p>
            <w:r>
              <w:rPr>
                <w:sz w:val="18"/>
              </w:rPr>
              <w:t>4 weeks</w:t>
            </w:r>
          </w:p>
        </w:tc>
        <w:tc>
          <w:tcPr>
            <w:tcW w:type="dxa" w:w="1296"/>
            <w:shd w:val="clear" w:color="auto" w:fill="f0f4f8"/>
          </w:tcPr>
          <w:p>
            <w:r>
              <w:rPr>
                <w:sz w:val="18"/>
              </w:rPr>
              <w:t>3 weeks</w:t>
            </w:r>
          </w:p>
        </w:tc>
        <w:tc>
          <w:tcPr>
            <w:tcW w:type="dxa" w:w="1296"/>
            <w:shd w:val="clear" w:color="auto" w:fill="f0f4f8"/>
          </w:tcPr>
          <w:p>
            <w:r>
              <w:rPr>
                <w:sz w:val="18"/>
              </w:rPr>
              <w:t>5%/wk</w:t>
            </w:r>
          </w:p>
        </w:tc>
        <w:tc>
          <w:tcPr>
            <w:tcW w:type="dxa" w:w="1296"/>
            <w:shd w:val="clear" w:color="auto" w:fill="f0f4f8"/>
          </w:tcPr>
          <w:p>
            <w:r>
              <w:rPr>
                <w:sz w:val="18"/>
              </w:rPr>
              <w:t>Cell supply concentration</w:t>
            </w:r>
          </w:p>
        </w:tc>
      </w:tr>
      <w:tr>
        <w:tc>
          <w:tcPr>
            <w:tcW w:type="dxa" w:w="1296"/>
          </w:tcPr>
          <w:p>
            <w:r>
              <w:rPr>
                <w:b/>
                <w:sz w:val="18"/>
              </w:rPr>
              <w:t>Inverter</w:t>
            </w:r>
          </w:p>
        </w:tc>
        <w:tc>
          <w:tcPr>
            <w:tcW w:type="dxa" w:w="1296"/>
          </w:tcPr>
          <w:p>
            <w:r>
              <w:rPr>
                <w:sz w:val="18"/>
              </w:rPr>
              <w:t>SiC wafers</w:t>
            </w:r>
          </w:p>
        </w:tc>
        <w:tc>
          <w:tcPr>
            <w:tcW w:type="dxa" w:w="1296"/>
          </w:tcPr>
          <w:p>
            <w:r>
              <w:rPr>
                <w:sz w:val="18"/>
              </w:rPr>
              <w:t>45%</w:t>
            </w:r>
          </w:p>
        </w:tc>
        <w:tc>
          <w:tcPr>
            <w:tcW w:type="dxa" w:w="1296"/>
          </w:tcPr>
          <w:p>
            <w:r>
              <w:rPr>
                <w:sz w:val="18"/>
              </w:rPr>
              <w:t>16 weeks</w:t>
            </w:r>
          </w:p>
        </w:tc>
        <w:tc>
          <w:tcPr>
            <w:tcW w:type="dxa" w:w="1296"/>
          </w:tcPr>
          <w:p>
            <w:r>
              <w:rPr>
                <w:sz w:val="18"/>
              </w:rPr>
              <w:t>8 weeks</w:t>
            </w:r>
          </w:p>
        </w:tc>
        <w:tc>
          <w:tcPr>
            <w:tcW w:type="dxa" w:w="1296"/>
          </w:tcPr>
          <w:p>
            <w:r>
              <w:rPr>
                <w:sz w:val="18"/>
              </w:rPr>
              <w:t>2.5%/wk</w:t>
            </w:r>
          </w:p>
        </w:tc>
        <w:tc>
          <w:tcPr>
            <w:tcW w:type="dxa" w:w="1296"/>
          </w:tcPr>
          <w:p>
            <w:r>
              <w:rPr>
                <w:sz w:val="18"/>
              </w:rPr>
              <w:t>SiC capacity crunch (Wolfspeed/Coherent)</w:t>
            </w:r>
          </w:p>
        </w:tc>
      </w:tr>
      <w:tr>
        <w:tc>
          <w:tcPr>
            <w:tcW w:type="dxa" w:w="1296"/>
            <w:shd w:val="clear" w:color="auto" w:fill="f0f4f8"/>
          </w:tcPr>
          <w:p>
            <w:r>
              <w:rPr>
                <w:b/>
                <w:sz w:val="18"/>
              </w:rPr>
              <w:t>Motor (PMSM)</w:t>
            </w:r>
          </w:p>
        </w:tc>
        <w:tc>
          <w:tcPr>
            <w:tcW w:type="dxa" w:w="1296"/>
            <w:shd w:val="clear" w:color="auto" w:fill="f0f4f8"/>
          </w:tcPr>
          <w:p>
            <w:r>
              <w:rPr>
                <w:sz w:val="18"/>
              </w:rPr>
              <w:t>REE / NdFeB mag.</w:t>
            </w:r>
          </w:p>
        </w:tc>
        <w:tc>
          <w:tcPr>
            <w:tcW w:type="dxa" w:w="1296"/>
            <w:shd w:val="clear" w:color="auto" w:fill="f0f4f8"/>
          </w:tcPr>
          <w:p>
            <w:r>
              <w:rPr>
                <w:sz w:val="18"/>
              </w:rPr>
              <w:t>82%</w:t>
            </w:r>
          </w:p>
        </w:tc>
        <w:tc>
          <w:tcPr>
            <w:tcW w:type="dxa" w:w="1296"/>
            <w:shd w:val="clear" w:color="auto" w:fill="f0f4f8"/>
          </w:tcPr>
          <w:p>
            <w:r>
              <w:rPr>
                <w:sz w:val="18"/>
              </w:rPr>
              <w:t>12 weeks</w:t>
            </w:r>
          </w:p>
        </w:tc>
        <w:tc>
          <w:tcPr>
            <w:tcW w:type="dxa" w:w="1296"/>
            <w:shd w:val="clear" w:color="auto" w:fill="f0f4f8"/>
          </w:tcPr>
          <w:p>
            <w:r>
              <w:rPr>
                <w:sz w:val="18"/>
              </w:rPr>
              <w:t>6 weeks</w:t>
            </w:r>
          </w:p>
        </w:tc>
        <w:tc>
          <w:tcPr>
            <w:tcW w:type="dxa" w:w="1296"/>
            <w:shd w:val="clear" w:color="auto" w:fill="f0f4f8"/>
          </w:tcPr>
          <w:p>
            <w:r>
              <w:rPr>
                <w:sz w:val="18"/>
              </w:rPr>
              <w:t>4%/wk</w:t>
            </w:r>
          </w:p>
        </w:tc>
        <w:tc>
          <w:tcPr>
            <w:tcW w:type="dxa" w:w="1296"/>
            <w:shd w:val="clear" w:color="auto" w:fill="f0f4f8"/>
          </w:tcPr>
          <w:p>
            <w:r>
              <w:rPr>
                <w:sz w:val="18"/>
              </w:rPr>
              <w:t>China REE export controls</w:t>
            </w:r>
          </w:p>
        </w:tc>
      </w:tr>
      <w:tr>
        <w:tc>
          <w:tcPr>
            <w:tcW w:type="dxa" w:w="1296"/>
          </w:tcPr>
          <w:p>
            <w:r>
              <w:rPr>
                <w:b/>
                <w:sz w:val="18"/>
              </w:rPr>
              <w:t>Wiring Harness</w:t>
            </w:r>
          </w:p>
        </w:tc>
        <w:tc>
          <w:tcPr>
            <w:tcW w:type="dxa" w:w="1296"/>
          </w:tcPr>
          <w:p>
            <w:r>
              <w:rPr>
                <w:sz w:val="18"/>
              </w:rPr>
              <w:t>Copper (tracked)</w:t>
            </w:r>
          </w:p>
        </w:tc>
        <w:tc>
          <w:tcPr>
            <w:tcW w:type="dxa" w:w="1296"/>
          </w:tcPr>
          <w:p>
            <w:r>
              <w:rPr>
                <w:sz w:val="18"/>
              </w:rPr>
              <w:t>0%</w:t>
            </w:r>
          </w:p>
        </w:tc>
        <w:tc>
          <w:tcPr>
            <w:tcW w:type="dxa" w:w="1296"/>
          </w:tcPr>
          <w:p>
            <w:r>
              <w:rPr>
                <w:sz w:val="18"/>
              </w:rPr>
              <w:t>6 weeks</w:t>
            </w:r>
          </w:p>
        </w:tc>
        <w:tc>
          <w:tcPr>
            <w:tcW w:type="dxa" w:w="1296"/>
          </w:tcPr>
          <w:p>
            <w:r>
              <w:rPr>
                <w:sz w:val="18"/>
              </w:rPr>
              <w:t>2 weeks</w:t>
            </w:r>
          </w:p>
        </w:tc>
        <w:tc>
          <w:tcPr>
            <w:tcW w:type="dxa" w:w="1296"/>
          </w:tcPr>
          <w:p>
            <w:r>
              <w:rPr>
                <w:sz w:val="18"/>
              </w:rPr>
              <w:t>6%/wk</w:t>
            </w:r>
          </w:p>
        </w:tc>
        <w:tc>
          <w:tcPr>
            <w:tcW w:type="dxa" w:w="1296"/>
          </w:tcPr>
          <w:p>
            <w:r>
              <w:rPr>
                <w:sz w:val="18"/>
              </w:rPr>
              <w:t>Ukraine JIT exposure (Leoni 2022)</w:t>
            </w:r>
          </w:p>
        </w:tc>
      </w:tr>
    </w:tbl>
    <w:p>
      <w:pPr>
        <w:spacing w:before="80" w:after="240"/>
        <w:jc w:val="center"/>
      </w:pPr>
      <w:r>
        <w:rPr>
          <w:i/>
          <w:color w:val="606070"/>
          <w:sz w:val="18"/>
        </w:rPr>
        <w:t>Table 5. Tier-1 sub-system supplier parameters. Input dependency is the fraction of output requiring the critical input (remaining fraction uses alternative materials). Lead time drives pipeline inventory and bullwhip amplification (factor = 1.25).</w:t>
      </w:r>
    </w:p>
    <w:p>
      <w:pPr>
        <w:keepNext/>
        <w:spacing w:before="280" w:after="120"/>
      </w:pPr>
      <w:r>
        <w:rPr>
          <w:b/>
          <w:color w:val="2E5F9E"/>
          <w:sz w:val="23"/>
        </w:rPr>
        <w:t>6.4  OEM Groups</w:t>
      </w:r>
    </w:p>
    <w:p>
      <w:pPr>
        <w:spacing w:after="100" w:lineRule="auto" w:line="276"/>
        <w:ind w:left="0"/>
      </w:pPr>
      <w:r>
        <w:rPr>
          <w:sz w:val="20"/>
        </w:rPr>
        <w:t>Seven OEM agent groups represent global vehicle manufacturers by region. Table 6 shows production targets, vertical integration, and primary cell sourcing mix. Two Chinese OEM groups (BYD and Other Chinese) and one UK OEM group are new in version 2.0.</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814"/>
            <w:shd w:val="clear" w:color="auto" w:fill="2e5f9e"/>
            <w:vAlign w:val="center"/>
          </w:tcPr>
          <w:p>
            <w:pPr>
              <w:jc w:val="center"/>
            </w:pPr>
            <w:r>
              <w:rPr>
                <w:b/>
                <w:color w:val="FFFFFF"/>
                <w:sz w:val="18"/>
              </w:rPr>
              <w:t>OEM Group</w:t>
            </w:r>
          </w:p>
        </w:tc>
        <w:tc>
          <w:tcPr>
            <w:tcW w:type="dxa" w:w="1020"/>
            <w:shd w:val="clear" w:color="auto" w:fill="2e5f9e"/>
            <w:vAlign w:val="center"/>
          </w:tcPr>
          <w:p>
            <w:pPr>
              <w:jc w:val="center"/>
            </w:pPr>
            <w:r>
              <w:rPr>
                <w:b/>
                <w:color w:val="FFFFFF"/>
                <w:sz w:val="18"/>
              </w:rPr>
              <w:t>Region</w:t>
            </w:r>
          </w:p>
        </w:tc>
        <w:tc>
          <w:tcPr>
            <w:tcW w:type="dxa" w:w="1134"/>
            <w:shd w:val="clear" w:color="auto" w:fill="2e5f9e"/>
            <w:vAlign w:val="center"/>
          </w:tcPr>
          <w:p>
            <w:pPr>
              <w:jc w:val="center"/>
            </w:pPr>
            <w:r>
              <w:rPr>
                <w:b/>
                <w:color w:val="FFFFFF"/>
                <w:sz w:val="18"/>
              </w:rPr>
              <w:t>Annual</w:t>
              <w:br/>
              <w:t>target (k)</w:t>
            </w:r>
          </w:p>
        </w:tc>
        <w:tc>
          <w:tcPr>
            <w:tcW w:type="dxa" w:w="1020"/>
            <w:shd w:val="clear" w:color="auto" w:fill="2e5f9e"/>
            <w:vAlign w:val="center"/>
          </w:tcPr>
          <w:p>
            <w:pPr>
              <w:jc w:val="center"/>
            </w:pPr>
            <w:r>
              <w:rPr>
                <w:b/>
                <w:color w:val="FFFFFF"/>
                <w:sz w:val="18"/>
              </w:rPr>
              <w:t>Global</w:t>
              <w:br/>
              <w:t>share</w:t>
            </w:r>
          </w:p>
        </w:tc>
        <w:tc>
          <w:tcPr>
            <w:tcW w:type="dxa" w:w="1134"/>
            <w:shd w:val="clear" w:color="auto" w:fill="2e5f9e"/>
            <w:vAlign w:val="center"/>
          </w:tcPr>
          <w:p>
            <w:pPr>
              <w:jc w:val="center"/>
            </w:pPr>
            <w:r>
              <w:rPr>
                <w:b/>
                <w:color w:val="FFFFFF"/>
                <w:sz w:val="18"/>
              </w:rPr>
              <w:t>Vertical</w:t>
              <w:br/>
              <w:t>integration</w:t>
            </w:r>
          </w:p>
        </w:tc>
        <w:tc>
          <w:tcPr>
            <w:tcW w:type="dxa" w:w="2551"/>
            <w:shd w:val="clear" w:color="auto" w:fill="2e5f9e"/>
            <w:vAlign w:val="center"/>
          </w:tcPr>
          <w:p>
            <w:pPr>
              <w:jc w:val="center"/>
            </w:pPr>
            <w:r>
              <w:rPr>
                <w:b/>
                <w:color w:val="FFFFFF"/>
                <w:sz w:val="18"/>
              </w:rPr>
              <w:t>Primary cell suppliers</w:t>
            </w:r>
          </w:p>
        </w:tc>
        <w:tc>
          <w:tcPr>
            <w:tcW w:type="dxa" w:w="1814"/>
            <w:shd w:val="clear" w:color="auto" w:fill="2e5f9e"/>
            <w:vAlign w:val="center"/>
          </w:tcPr>
          <w:p>
            <w:pPr>
              <w:jc w:val="center"/>
            </w:pPr>
            <w:r>
              <w:rPr>
                <w:b/>
                <w:color w:val="FFFFFF"/>
                <w:sz w:val="18"/>
              </w:rPr>
              <w:t>Key</w:t>
              <w:br/>
              <w:t>vulnerability</w:t>
            </w:r>
          </w:p>
        </w:tc>
      </w:tr>
      <w:tr>
        <w:tc>
          <w:tcPr>
            <w:tcW w:type="dxa" w:w="1296"/>
            <w:shd w:val="clear" w:color="auto" w:fill="f0f4f8"/>
          </w:tcPr>
          <w:p>
            <w:r>
              <w:rPr>
                <w:b/>
                <w:sz w:val="18"/>
              </w:rPr>
              <w:t>BYD OEM ★</w:t>
            </w:r>
          </w:p>
        </w:tc>
        <w:tc>
          <w:tcPr>
            <w:tcW w:type="dxa" w:w="1296"/>
            <w:shd w:val="clear" w:color="auto" w:fill="f0f4f8"/>
          </w:tcPr>
          <w:p>
            <w:r>
              <w:rPr>
                <w:sz w:val="18"/>
              </w:rPr>
              <w:t>China</w:t>
            </w:r>
          </w:p>
        </w:tc>
        <w:tc>
          <w:tcPr>
            <w:tcW w:type="dxa" w:w="1296"/>
            <w:shd w:val="clear" w:color="auto" w:fill="f0f4f8"/>
          </w:tcPr>
          <w:p>
            <w:r>
              <w:rPr>
                <w:sz w:val="18"/>
              </w:rPr>
              <w:t>1,575</w:t>
            </w:r>
          </w:p>
        </w:tc>
        <w:tc>
          <w:tcPr>
            <w:tcW w:type="dxa" w:w="1296"/>
            <w:shd w:val="clear" w:color="auto" w:fill="f0f4f8"/>
          </w:tcPr>
          <w:p>
            <w:r>
              <w:rPr>
                <w:sz w:val="18"/>
              </w:rPr>
              <w:t>11.25%</w:t>
            </w:r>
          </w:p>
        </w:tc>
        <w:tc>
          <w:tcPr>
            <w:tcW w:type="dxa" w:w="1296"/>
            <w:shd w:val="clear" w:color="auto" w:fill="f0f4f8"/>
          </w:tcPr>
          <w:p>
            <w:r>
              <w:rPr>
                <w:sz w:val="18"/>
              </w:rPr>
              <w:t>95%</w:t>
            </w:r>
          </w:p>
        </w:tc>
        <w:tc>
          <w:tcPr>
            <w:tcW w:type="dxa" w:w="1296"/>
            <w:shd w:val="clear" w:color="auto" w:fill="f0f4f8"/>
          </w:tcPr>
          <w:p>
            <w:r>
              <w:rPr>
                <w:sz w:val="18"/>
              </w:rPr>
              <w:t>BYD Cells 95%, CATL 5%</w:t>
            </w:r>
          </w:p>
        </w:tc>
        <w:tc>
          <w:tcPr>
            <w:tcW w:type="dxa" w:w="1296"/>
            <w:shd w:val="clear" w:color="auto" w:fill="f0f4f8"/>
          </w:tcPr>
          <w:p>
            <w:r>
              <w:rPr>
                <w:sz w:val="18"/>
              </w:rPr>
              <w:t>Domestic supply disruption</w:t>
            </w:r>
          </w:p>
        </w:tc>
      </w:tr>
      <w:tr>
        <w:tc>
          <w:tcPr>
            <w:tcW w:type="dxa" w:w="1296"/>
          </w:tcPr>
          <w:p>
            <w:r>
              <w:rPr>
                <w:b/>
                <w:sz w:val="18"/>
              </w:rPr>
              <w:t>Other Chinese OEM ★</w:t>
            </w:r>
          </w:p>
        </w:tc>
        <w:tc>
          <w:tcPr>
            <w:tcW w:type="dxa" w:w="1296"/>
          </w:tcPr>
          <w:p>
            <w:r>
              <w:rPr>
                <w:sz w:val="18"/>
              </w:rPr>
              <w:t>China</w:t>
            </w:r>
          </w:p>
        </w:tc>
        <w:tc>
          <w:tcPr>
            <w:tcW w:type="dxa" w:w="1296"/>
          </w:tcPr>
          <w:p>
            <w:r>
              <w:rPr>
                <w:sz w:val="18"/>
              </w:rPr>
              <w:t>6,825</w:t>
            </w:r>
          </w:p>
        </w:tc>
        <w:tc>
          <w:tcPr>
            <w:tcW w:type="dxa" w:w="1296"/>
          </w:tcPr>
          <w:p>
            <w:r>
              <w:rPr>
                <w:sz w:val="18"/>
              </w:rPr>
              <w:t>48.75%</w:t>
            </w:r>
          </w:p>
        </w:tc>
        <w:tc>
          <w:tcPr>
            <w:tcW w:type="dxa" w:w="1296"/>
          </w:tcPr>
          <w:p>
            <w:r>
              <w:rPr>
                <w:sz w:val="18"/>
              </w:rPr>
              <w:t>50%</w:t>
            </w:r>
          </w:p>
        </w:tc>
        <w:tc>
          <w:tcPr>
            <w:tcW w:type="dxa" w:w="1296"/>
          </w:tcPr>
          <w:p>
            <w:r>
              <w:rPr>
                <w:sz w:val="18"/>
              </w:rPr>
              <w:t>CATL 55%, CALB 15%, BYD Cells 10%, Others 20%</w:t>
            </w:r>
          </w:p>
        </w:tc>
        <w:tc>
          <w:tcPr>
            <w:tcW w:type="dxa" w:w="1296"/>
          </w:tcPr>
          <w:p>
            <w:r>
              <w:rPr>
                <w:sz w:val="18"/>
              </w:rPr>
              <w:t>CATL concentration (55%)</w:t>
            </w:r>
          </w:p>
        </w:tc>
      </w:tr>
      <w:tr>
        <w:tc>
          <w:tcPr>
            <w:tcW w:type="dxa" w:w="1296"/>
            <w:shd w:val="clear" w:color="auto" w:fill="f0f4f8"/>
          </w:tcPr>
          <w:p>
            <w:r>
              <w:rPr>
                <w:b/>
                <w:sz w:val="18"/>
              </w:rPr>
              <w:t>UK OEM ★</w:t>
            </w:r>
          </w:p>
        </w:tc>
        <w:tc>
          <w:tcPr>
            <w:tcW w:type="dxa" w:w="1296"/>
            <w:shd w:val="clear" w:color="auto" w:fill="f0f4f8"/>
          </w:tcPr>
          <w:p>
            <w:r>
              <w:rPr>
                <w:sz w:val="18"/>
              </w:rPr>
              <w:t>UK</w:t>
            </w:r>
          </w:p>
        </w:tc>
        <w:tc>
          <w:tcPr>
            <w:tcW w:type="dxa" w:w="1296"/>
            <w:shd w:val="clear" w:color="auto" w:fill="f0f4f8"/>
          </w:tcPr>
          <w:p>
            <w:r>
              <w:rPr>
                <w:sz w:val="18"/>
              </w:rPr>
              <w:t>175</w:t>
            </w:r>
          </w:p>
        </w:tc>
        <w:tc>
          <w:tcPr>
            <w:tcW w:type="dxa" w:w="1296"/>
            <w:shd w:val="clear" w:color="auto" w:fill="f0f4f8"/>
          </w:tcPr>
          <w:p>
            <w:r>
              <w:rPr>
                <w:sz w:val="18"/>
              </w:rPr>
              <w:t>1.25%</w:t>
            </w:r>
          </w:p>
        </w:tc>
        <w:tc>
          <w:tcPr>
            <w:tcW w:type="dxa" w:w="1296"/>
            <w:shd w:val="clear" w:color="auto" w:fill="f0f4f8"/>
          </w:tcPr>
          <w:p>
            <w:r>
              <w:rPr>
                <w:sz w:val="18"/>
              </w:rPr>
              <w:t>5%</w:t>
            </w:r>
          </w:p>
        </w:tc>
        <w:tc>
          <w:tcPr>
            <w:tcW w:type="dxa" w:w="1296"/>
            <w:shd w:val="clear" w:color="auto" w:fill="f0f4f8"/>
          </w:tcPr>
          <w:p>
            <w:r>
              <w:rPr>
                <w:sz w:val="18"/>
              </w:rPr>
              <w:t>Samsung SDI 30%, LG ES 25%, AESC UK 20%, SK On 15%, CATL 10%</w:t>
            </w:r>
          </w:p>
        </w:tc>
        <w:tc>
          <w:tcPr>
            <w:tcW w:type="dxa" w:w="1296"/>
            <w:shd w:val="clear" w:color="auto" w:fill="f0f4f8"/>
          </w:tcPr>
          <w:p>
            <w:r>
              <w:rPr>
                <w:sz w:val="18"/>
              </w:rPr>
              <w:t>Post-Brexit RoO; no domestic gigafactory</w:t>
            </w:r>
          </w:p>
        </w:tc>
      </w:tr>
      <w:tr>
        <w:tc>
          <w:tcPr>
            <w:tcW w:type="dxa" w:w="1296"/>
          </w:tcPr>
          <w:p>
            <w:r>
              <w:rPr>
                <w:b/>
                <w:sz w:val="18"/>
              </w:rPr>
              <w:t>US OEM</w:t>
            </w:r>
          </w:p>
        </w:tc>
        <w:tc>
          <w:tcPr>
            <w:tcW w:type="dxa" w:w="1296"/>
          </w:tcPr>
          <w:p>
            <w:r>
              <w:rPr>
                <w:sz w:val="18"/>
              </w:rPr>
              <w:t>USA</w:t>
            </w:r>
          </w:p>
        </w:tc>
        <w:tc>
          <w:tcPr>
            <w:tcW w:type="dxa" w:w="1296"/>
          </w:tcPr>
          <w:p>
            <w:r>
              <w:rPr>
                <w:sz w:val="18"/>
              </w:rPr>
              <w:t>1,820</w:t>
            </w:r>
          </w:p>
        </w:tc>
        <w:tc>
          <w:tcPr>
            <w:tcW w:type="dxa" w:w="1296"/>
          </w:tcPr>
          <w:p>
            <w:r>
              <w:rPr>
                <w:sz w:val="18"/>
              </w:rPr>
              <w:t>13.00%</w:t>
            </w:r>
          </w:p>
        </w:tc>
        <w:tc>
          <w:tcPr>
            <w:tcW w:type="dxa" w:w="1296"/>
          </w:tcPr>
          <w:p>
            <w:r>
              <w:rPr>
                <w:sz w:val="18"/>
              </w:rPr>
              <w:t>40%</w:t>
            </w:r>
          </w:p>
        </w:tc>
        <w:tc>
          <w:tcPr>
            <w:tcW w:type="dxa" w:w="1296"/>
          </w:tcPr>
          <w:p>
            <w:r>
              <w:rPr>
                <w:sz w:val="18"/>
              </w:rPr>
              <w:t>Panasonic 40%, CATL 30%, LG ES 30%</w:t>
            </w:r>
          </w:p>
        </w:tc>
        <w:tc>
          <w:tcPr>
            <w:tcW w:type="dxa" w:w="1296"/>
          </w:tcPr>
          <w:p>
            <w:r>
              <w:rPr>
                <w:sz w:val="18"/>
              </w:rPr>
              <w:t>CATL tariff (IRA / Section 301)</w:t>
            </w:r>
          </w:p>
        </w:tc>
      </w:tr>
      <w:tr>
        <w:tc>
          <w:tcPr>
            <w:tcW w:type="dxa" w:w="1296"/>
            <w:shd w:val="clear" w:color="auto" w:fill="f0f4f8"/>
          </w:tcPr>
          <w:p>
            <w:r>
              <w:rPr>
                <w:b/>
                <w:sz w:val="18"/>
              </w:rPr>
              <w:t>European OEM</w:t>
            </w:r>
          </w:p>
        </w:tc>
        <w:tc>
          <w:tcPr>
            <w:tcW w:type="dxa" w:w="1296"/>
            <w:shd w:val="clear" w:color="auto" w:fill="f0f4f8"/>
          </w:tcPr>
          <w:p>
            <w:r>
              <w:rPr>
                <w:sz w:val="18"/>
              </w:rPr>
              <w:t>EU</w:t>
            </w:r>
          </w:p>
        </w:tc>
        <w:tc>
          <w:tcPr>
            <w:tcW w:type="dxa" w:w="1296"/>
            <w:shd w:val="clear" w:color="auto" w:fill="f0f4f8"/>
          </w:tcPr>
          <w:p>
            <w:r>
              <w:rPr>
                <w:sz w:val="18"/>
              </w:rPr>
              <w:t>1,505</w:t>
            </w:r>
          </w:p>
        </w:tc>
        <w:tc>
          <w:tcPr>
            <w:tcW w:type="dxa" w:w="1296"/>
            <w:shd w:val="clear" w:color="auto" w:fill="f0f4f8"/>
          </w:tcPr>
          <w:p>
            <w:r>
              <w:rPr>
                <w:sz w:val="18"/>
              </w:rPr>
              <w:t>10.75%</w:t>
            </w:r>
          </w:p>
        </w:tc>
        <w:tc>
          <w:tcPr>
            <w:tcW w:type="dxa" w:w="1296"/>
            <w:shd w:val="clear" w:color="auto" w:fill="f0f4f8"/>
          </w:tcPr>
          <w:p>
            <w:r>
              <w:rPr>
                <w:sz w:val="18"/>
              </w:rPr>
              <w:t>20%</w:t>
            </w:r>
          </w:p>
        </w:tc>
        <w:tc>
          <w:tcPr>
            <w:tcW w:type="dxa" w:w="1296"/>
            <w:shd w:val="clear" w:color="auto" w:fill="f0f4f8"/>
          </w:tcPr>
          <w:p>
            <w:r>
              <w:rPr>
                <w:sz w:val="18"/>
              </w:rPr>
              <w:t>LG ES 35%, Samsung SDI 30%, SK On 25%, CATL 10%</w:t>
            </w:r>
          </w:p>
        </w:tc>
        <w:tc>
          <w:tcPr>
            <w:tcW w:type="dxa" w:w="1296"/>
            <w:shd w:val="clear" w:color="auto" w:fill="f0f4f8"/>
          </w:tcPr>
          <w:p>
            <w:r>
              <w:rPr>
                <w:sz w:val="18"/>
              </w:rPr>
              <w:t>Ukraine harness (JIT)</w:t>
            </w:r>
          </w:p>
        </w:tc>
      </w:tr>
      <w:tr>
        <w:tc>
          <w:tcPr>
            <w:tcW w:type="dxa" w:w="1296"/>
          </w:tcPr>
          <w:p>
            <w:r>
              <w:rPr>
                <w:b/>
                <w:sz w:val="18"/>
              </w:rPr>
              <w:t>Korean OEM</w:t>
            </w:r>
          </w:p>
        </w:tc>
        <w:tc>
          <w:tcPr>
            <w:tcW w:type="dxa" w:w="1296"/>
          </w:tcPr>
          <w:p>
            <w:r>
              <w:rPr>
                <w:sz w:val="18"/>
              </w:rPr>
              <w:t>Korea</w:t>
            </w:r>
          </w:p>
        </w:tc>
        <w:tc>
          <w:tcPr>
            <w:tcW w:type="dxa" w:w="1296"/>
          </w:tcPr>
          <w:p>
            <w:r>
              <w:rPr>
                <w:sz w:val="18"/>
              </w:rPr>
              <w:t>1,120</w:t>
            </w:r>
          </w:p>
        </w:tc>
        <w:tc>
          <w:tcPr>
            <w:tcW w:type="dxa" w:w="1296"/>
          </w:tcPr>
          <w:p>
            <w:r>
              <w:rPr>
                <w:sz w:val="18"/>
              </w:rPr>
              <w:t>8.00%</w:t>
            </w:r>
          </w:p>
        </w:tc>
        <w:tc>
          <w:tcPr>
            <w:tcW w:type="dxa" w:w="1296"/>
          </w:tcPr>
          <w:p>
            <w:r>
              <w:rPr>
                <w:sz w:val="18"/>
              </w:rPr>
              <w:t>45%</w:t>
            </w:r>
          </w:p>
        </w:tc>
        <w:tc>
          <w:tcPr>
            <w:tcW w:type="dxa" w:w="1296"/>
          </w:tcPr>
          <w:p>
            <w:r>
              <w:rPr>
                <w:sz w:val="18"/>
              </w:rPr>
              <w:t>SK On 50%, Samsung SDI 30%, LG ES 20%</w:t>
            </w:r>
          </w:p>
        </w:tc>
        <w:tc>
          <w:tcPr>
            <w:tcW w:type="dxa" w:w="1296"/>
          </w:tcPr>
          <w:p>
            <w:r>
              <w:rPr>
                <w:sz w:val="18"/>
              </w:rPr>
              <w:t>REE motor magnets</w:t>
            </w:r>
          </w:p>
        </w:tc>
      </w:tr>
      <w:tr>
        <w:tc>
          <w:tcPr>
            <w:tcW w:type="dxa" w:w="1296"/>
            <w:shd w:val="clear" w:color="auto" w:fill="f0f4f8"/>
          </w:tcPr>
          <w:p>
            <w:r>
              <w:rPr>
                <w:b/>
                <w:sz w:val="18"/>
              </w:rPr>
              <w:t>Japanese OEM</w:t>
            </w:r>
          </w:p>
        </w:tc>
        <w:tc>
          <w:tcPr>
            <w:tcW w:type="dxa" w:w="1296"/>
            <w:shd w:val="clear" w:color="auto" w:fill="f0f4f8"/>
          </w:tcPr>
          <w:p>
            <w:r>
              <w:rPr>
                <w:sz w:val="18"/>
              </w:rPr>
              <w:t>Japan</w:t>
            </w:r>
          </w:p>
        </w:tc>
        <w:tc>
          <w:tcPr>
            <w:tcW w:type="dxa" w:w="1296"/>
            <w:shd w:val="clear" w:color="auto" w:fill="f0f4f8"/>
          </w:tcPr>
          <w:p>
            <w:r>
              <w:rPr>
                <w:sz w:val="18"/>
              </w:rPr>
              <w:t>980</w:t>
            </w:r>
          </w:p>
        </w:tc>
        <w:tc>
          <w:tcPr>
            <w:tcW w:type="dxa" w:w="1296"/>
            <w:shd w:val="clear" w:color="auto" w:fill="f0f4f8"/>
          </w:tcPr>
          <w:p>
            <w:r>
              <w:rPr>
                <w:sz w:val="18"/>
              </w:rPr>
              <w:t>7.00%</w:t>
            </w:r>
          </w:p>
        </w:tc>
        <w:tc>
          <w:tcPr>
            <w:tcW w:type="dxa" w:w="1296"/>
            <w:shd w:val="clear" w:color="auto" w:fill="f0f4f8"/>
          </w:tcPr>
          <w:p>
            <w:r>
              <w:rPr>
                <w:sz w:val="18"/>
              </w:rPr>
              <w:t>30%</w:t>
            </w:r>
          </w:p>
        </w:tc>
        <w:tc>
          <w:tcPr>
            <w:tcW w:type="dxa" w:w="1296"/>
            <w:shd w:val="clear" w:color="auto" w:fill="f0f4f8"/>
          </w:tcPr>
          <w:p>
            <w:r>
              <w:rPr>
                <w:sz w:val="18"/>
              </w:rPr>
              <w:t>Panasonic 60%, Samsung SDI 20%, LG ES 20%</w:t>
            </w:r>
          </w:p>
        </w:tc>
        <w:tc>
          <w:tcPr>
            <w:tcW w:type="dxa" w:w="1296"/>
            <w:shd w:val="clear" w:color="auto" w:fill="f0f4f8"/>
          </w:tcPr>
          <w:p>
            <w:r>
              <w:rPr>
                <w:sz w:val="18"/>
              </w:rPr>
              <w:t>SiC inverter lead times</w:t>
            </w:r>
          </w:p>
        </w:tc>
      </w:tr>
    </w:tbl>
    <w:p>
      <w:pPr>
        <w:spacing w:before="80" w:after="240"/>
        <w:jc w:val="center"/>
      </w:pPr>
      <w:r>
        <w:rPr>
          <w:i/>
          <w:color w:val="606070"/>
          <w:sz w:val="18"/>
        </w:rPr>
        <w:t>Table 6. OEM agent parameters. Entries marked ★ are newly added or modified in version 2.0. Annual targets sum to 14,000 k (14 million units), consistent with IEA GEO 2024 global BEV production estimate. Cell sourcing mix is metadata (currently descriptive; per-OEM routing is a planned model extension).</w:t>
      </w:r>
    </w:p>
    <w:p>
      <w:pPr>
        <w:keepNext/>
        <w:spacing w:before="280" w:after="120"/>
      </w:pPr>
      <w:r>
        <w:rPr>
          <w:b/>
          <w:color w:val="2E5F9E"/>
          <w:sz w:val="23"/>
        </w:rPr>
        <w:t>6.5  Market Demand</w:t>
      </w:r>
    </w:p>
    <w:p>
      <w:pPr>
        <w:spacing w:after="100" w:lineRule="auto" w:line="276"/>
        <w:ind w:left="0"/>
      </w:pPr>
      <w:r>
        <w:rPr>
          <w:sz w:val="20"/>
        </w:rPr>
        <w:t>Table 7 summarises the six regional market demand agents. Annual demand growth is compounded weekly. The UK market is introduced as a separate entity in version 2.0, reflecting post-Brexit regulatory divergence and the UK ZEV mandate (2024).</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17"/>
            <w:shd w:val="clear" w:color="auto" w:fill="2e5f9e"/>
            <w:vAlign w:val="center"/>
          </w:tcPr>
          <w:p>
            <w:pPr>
              <w:jc w:val="center"/>
            </w:pPr>
            <w:r>
              <w:rPr>
                <w:b/>
                <w:color w:val="FFFFFF"/>
                <w:sz w:val="18"/>
              </w:rPr>
              <w:t>Region</w:t>
            </w:r>
          </w:p>
        </w:tc>
        <w:tc>
          <w:tcPr>
            <w:tcW w:type="dxa" w:w="1701"/>
            <w:shd w:val="clear" w:color="auto" w:fill="2e5f9e"/>
            <w:vAlign w:val="center"/>
          </w:tcPr>
          <w:p>
            <w:pPr>
              <w:jc w:val="center"/>
            </w:pPr>
            <w:r>
              <w:rPr>
                <w:b/>
                <w:color w:val="FFFFFF"/>
                <w:sz w:val="18"/>
              </w:rPr>
              <w:t>2023 demand (GWh)</w:t>
            </w:r>
          </w:p>
        </w:tc>
        <w:tc>
          <w:tcPr>
            <w:tcW w:type="dxa" w:w="1134"/>
            <w:shd w:val="clear" w:color="auto" w:fill="2e5f9e"/>
            <w:vAlign w:val="center"/>
          </w:tcPr>
          <w:p>
            <w:pPr>
              <w:jc w:val="center"/>
            </w:pPr>
            <w:r>
              <w:rPr>
                <w:b/>
                <w:color w:val="FFFFFF"/>
                <w:sz w:val="18"/>
              </w:rPr>
              <w:t>YoY growth</w:t>
            </w:r>
          </w:p>
        </w:tc>
        <w:tc>
          <w:tcPr>
            <w:tcW w:type="dxa" w:w="1417"/>
            <w:shd w:val="clear" w:color="auto" w:fill="2e5f9e"/>
            <w:vAlign w:val="center"/>
          </w:tcPr>
          <w:p>
            <w:pPr>
              <w:jc w:val="center"/>
            </w:pPr>
            <w:r>
              <w:rPr>
                <w:b/>
                <w:color w:val="FFFFFF"/>
                <w:sz w:val="18"/>
              </w:rPr>
              <w:t>Avg kWh/vehicle</w:t>
            </w:r>
          </w:p>
        </w:tc>
        <w:tc>
          <w:tcPr>
            <w:tcW w:type="dxa" w:w="3118"/>
            <w:shd w:val="clear" w:color="auto" w:fill="2e5f9e"/>
            <w:vAlign w:val="center"/>
          </w:tcPr>
          <w:p>
            <w:pPr>
              <w:jc w:val="center"/>
            </w:pPr>
            <w:r>
              <w:rPr>
                <w:b/>
                <w:color w:val="FFFFFF"/>
                <w:sz w:val="18"/>
              </w:rPr>
              <w:t>Growth driver</w:t>
            </w:r>
          </w:p>
        </w:tc>
      </w:tr>
      <w:tr>
        <w:tc>
          <w:tcPr>
            <w:tcW w:type="dxa" w:w="1814"/>
            <w:shd w:val="clear" w:color="auto" w:fill="f0f4f8"/>
          </w:tcPr>
          <w:p>
            <w:r>
              <w:rPr>
                <w:b/>
                <w:sz w:val="18"/>
              </w:rPr>
              <w:t>China</w:t>
            </w:r>
          </w:p>
        </w:tc>
        <w:tc>
          <w:tcPr>
            <w:tcW w:type="dxa" w:w="1814"/>
            <w:shd w:val="clear" w:color="auto" w:fill="f0f4f8"/>
          </w:tcPr>
          <w:p>
            <w:r>
              <w:rPr>
                <w:sz w:val="18"/>
              </w:rPr>
              <w:t>493 GWh</w:t>
            </w:r>
          </w:p>
        </w:tc>
        <w:tc>
          <w:tcPr>
            <w:tcW w:type="dxa" w:w="1814"/>
            <w:shd w:val="clear" w:color="auto" w:fill="f0f4f8"/>
          </w:tcPr>
          <w:p>
            <w:r>
              <w:rPr>
                <w:sz w:val="18"/>
              </w:rPr>
              <w:t>33%</w:t>
            </w:r>
          </w:p>
        </w:tc>
        <w:tc>
          <w:tcPr>
            <w:tcW w:type="dxa" w:w="1814"/>
            <w:shd w:val="clear" w:color="auto" w:fill="f0f4f8"/>
          </w:tcPr>
          <w:p>
            <w:r>
              <w:rPr>
                <w:sz w:val="18"/>
              </w:rPr>
              <w:t>62 kWh</w:t>
            </w:r>
          </w:p>
        </w:tc>
        <w:tc>
          <w:tcPr>
            <w:tcW w:type="dxa" w:w="1814"/>
            <w:shd w:val="clear" w:color="auto" w:fill="f0f4f8"/>
          </w:tcPr>
          <w:p>
            <w:r>
              <w:rPr>
                <w:sz w:val="18"/>
              </w:rPr>
              <w:t>Government NEV targets; subsidy extension</w:t>
            </w:r>
          </w:p>
        </w:tc>
      </w:tr>
      <w:tr>
        <w:tc>
          <w:tcPr>
            <w:tcW w:type="dxa" w:w="1814"/>
          </w:tcPr>
          <w:p>
            <w:r>
              <w:rPr>
                <w:b/>
                <w:sz w:val="18"/>
              </w:rPr>
              <w:t>Europe (ex-UK)</w:t>
            </w:r>
          </w:p>
        </w:tc>
        <w:tc>
          <w:tcPr>
            <w:tcW w:type="dxa" w:w="1814"/>
          </w:tcPr>
          <w:p>
            <w:r>
              <w:rPr>
                <w:sz w:val="18"/>
              </w:rPr>
              <w:t>127 GWh</w:t>
            </w:r>
          </w:p>
        </w:tc>
        <w:tc>
          <w:tcPr>
            <w:tcW w:type="dxa" w:w="1814"/>
          </w:tcPr>
          <w:p>
            <w:r>
              <w:rPr>
                <w:sz w:val="18"/>
              </w:rPr>
              <w:t>11%</w:t>
            </w:r>
          </w:p>
        </w:tc>
        <w:tc>
          <w:tcPr>
            <w:tcW w:type="dxa" w:w="1814"/>
          </w:tcPr>
          <w:p>
            <w:r>
              <w:rPr>
                <w:sz w:val="18"/>
              </w:rPr>
              <w:t>68 kWh</w:t>
            </w:r>
          </w:p>
        </w:tc>
        <w:tc>
          <w:tcPr>
            <w:tcW w:type="dxa" w:w="1814"/>
          </w:tcPr>
          <w:p>
            <w:r>
              <w:rPr>
                <w:sz w:val="18"/>
              </w:rPr>
              <w:t>EU Green Deal; Euro 7 emissions regulations</w:t>
            </w:r>
          </w:p>
        </w:tc>
      </w:tr>
      <w:tr>
        <w:tc>
          <w:tcPr>
            <w:tcW w:type="dxa" w:w="1814"/>
            <w:shd w:val="clear" w:color="auto" w:fill="f0f4f8"/>
          </w:tcPr>
          <w:p>
            <w:r>
              <w:rPr>
                <w:b/>
                <w:sz w:val="18"/>
              </w:rPr>
              <w:t>UK ★</w:t>
            </w:r>
          </w:p>
        </w:tc>
        <w:tc>
          <w:tcPr>
            <w:tcW w:type="dxa" w:w="1814"/>
            <w:shd w:val="clear" w:color="auto" w:fill="f0f4f8"/>
          </w:tcPr>
          <w:p>
            <w:r>
              <w:rPr>
                <w:sz w:val="18"/>
              </w:rPr>
              <w:t>20 GWh</w:t>
            </w:r>
          </w:p>
        </w:tc>
        <w:tc>
          <w:tcPr>
            <w:tcW w:type="dxa" w:w="1814"/>
            <w:shd w:val="clear" w:color="auto" w:fill="f0f4f8"/>
          </w:tcPr>
          <w:p>
            <w:r>
              <w:rPr>
                <w:sz w:val="18"/>
              </w:rPr>
              <w:t>28%</w:t>
            </w:r>
          </w:p>
        </w:tc>
        <w:tc>
          <w:tcPr>
            <w:tcW w:type="dxa" w:w="1814"/>
            <w:shd w:val="clear" w:color="auto" w:fill="f0f4f8"/>
          </w:tcPr>
          <w:p>
            <w:r>
              <w:rPr>
                <w:sz w:val="18"/>
              </w:rPr>
              <w:t>65 kWh</w:t>
            </w:r>
          </w:p>
        </w:tc>
        <w:tc>
          <w:tcPr>
            <w:tcW w:type="dxa" w:w="1814"/>
            <w:shd w:val="clear" w:color="auto" w:fill="f0f4f8"/>
          </w:tcPr>
          <w:p>
            <w:r>
              <w:rPr>
                <w:sz w:val="18"/>
              </w:rPr>
              <w:t>UK ZEV mandate (22% from 2024, rising to 80% by 2030)</w:t>
            </w:r>
          </w:p>
        </w:tc>
      </w:tr>
      <w:tr>
        <w:tc>
          <w:tcPr>
            <w:tcW w:type="dxa" w:w="1814"/>
          </w:tcPr>
          <w:p>
            <w:r>
              <w:rPr>
                <w:b/>
                <w:sz w:val="18"/>
              </w:rPr>
              <w:t>USA</w:t>
            </w:r>
          </w:p>
        </w:tc>
        <w:tc>
          <w:tcPr>
            <w:tcW w:type="dxa" w:w="1814"/>
          </w:tcPr>
          <w:p>
            <w:r>
              <w:rPr>
                <w:sz w:val="18"/>
              </w:rPr>
              <w:t>104 GWh</w:t>
            </w:r>
          </w:p>
        </w:tc>
        <w:tc>
          <w:tcPr>
            <w:tcW w:type="dxa" w:w="1814"/>
          </w:tcPr>
          <w:p>
            <w:r>
              <w:rPr>
                <w:sz w:val="18"/>
              </w:rPr>
              <w:t>35%</w:t>
            </w:r>
          </w:p>
        </w:tc>
        <w:tc>
          <w:tcPr>
            <w:tcW w:type="dxa" w:w="1814"/>
          </w:tcPr>
          <w:p>
            <w:r>
              <w:rPr>
                <w:sz w:val="18"/>
              </w:rPr>
              <w:t>85 kWh</w:t>
            </w:r>
          </w:p>
        </w:tc>
        <w:tc>
          <w:tcPr>
            <w:tcW w:type="dxa" w:w="1814"/>
          </w:tcPr>
          <w:p>
            <w:r>
              <w:rPr>
                <w:sz w:val="18"/>
              </w:rPr>
              <w:t>IRA tax credits; Tesla market expansion</w:t>
            </w:r>
          </w:p>
        </w:tc>
      </w:tr>
      <w:tr>
        <w:tc>
          <w:tcPr>
            <w:tcW w:type="dxa" w:w="1814"/>
            <w:shd w:val="clear" w:color="auto" w:fill="f0f4f8"/>
          </w:tcPr>
          <w:p>
            <w:r>
              <w:rPr>
                <w:b/>
                <w:sz w:val="18"/>
              </w:rPr>
              <w:t>Japan/Korea</w:t>
            </w:r>
          </w:p>
        </w:tc>
        <w:tc>
          <w:tcPr>
            <w:tcW w:type="dxa" w:w="1814"/>
            <w:shd w:val="clear" w:color="auto" w:fill="f0f4f8"/>
          </w:tcPr>
          <w:p>
            <w:r>
              <w:rPr>
                <w:sz w:val="18"/>
              </w:rPr>
              <w:t>14 GWh</w:t>
            </w:r>
          </w:p>
        </w:tc>
        <w:tc>
          <w:tcPr>
            <w:tcW w:type="dxa" w:w="1814"/>
            <w:shd w:val="clear" w:color="auto" w:fill="f0f4f8"/>
          </w:tcPr>
          <w:p>
            <w:r>
              <w:rPr>
                <w:sz w:val="18"/>
              </w:rPr>
              <w:t>6%</w:t>
            </w:r>
          </w:p>
        </w:tc>
        <w:tc>
          <w:tcPr>
            <w:tcW w:type="dxa" w:w="1814"/>
            <w:shd w:val="clear" w:color="auto" w:fill="f0f4f8"/>
          </w:tcPr>
          <w:p>
            <w:r>
              <w:rPr>
                <w:sz w:val="18"/>
              </w:rPr>
              <w:t>48 kWh</w:t>
            </w:r>
          </w:p>
        </w:tc>
        <w:tc>
          <w:tcPr>
            <w:tcW w:type="dxa" w:w="1814"/>
            <w:shd w:val="clear" w:color="auto" w:fill="f0f4f8"/>
          </w:tcPr>
          <w:p>
            <w:r>
              <w:rPr>
                <w:sz w:val="18"/>
              </w:rPr>
              <w:t>Late adopter; small vehicle preference</w:t>
            </w:r>
          </w:p>
        </w:tc>
      </w:tr>
      <w:tr>
        <w:tc>
          <w:tcPr>
            <w:tcW w:type="dxa" w:w="1814"/>
          </w:tcPr>
          <w:p>
            <w:r>
              <w:rPr>
                <w:b/>
                <w:sz w:val="18"/>
              </w:rPr>
              <w:t>Rest of World</w:t>
            </w:r>
          </w:p>
        </w:tc>
        <w:tc>
          <w:tcPr>
            <w:tcW w:type="dxa" w:w="1814"/>
          </w:tcPr>
          <w:p>
            <w:r>
              <w:rPr>
                <w:sz w:val="18"/>
              </w:rPr>
              <w:t>64 GWh</w:t>
            </w:r>
          </w:p>
        </w:tc>
        <w:tc>
          <w:tcPr>
            <w:tcW w:type="dxa" w:w="1814"/>
          </w:tcPr>
          <w:p>
            <w:r>
              <w:rPr>
                <w:sz w:val="18"/>
              </w:rPr>
              <w:t>42%</w:t>
            </w:r>
          </w:p>
        </w:tc>
        <w:tc>
          <w:tcPr>
            <w:tcW w:type="dxa" w:w="1814"/>
          </w:tcPr>
          <w:p>
            <w:r>
              <w:rPr>
                <w:sz w:val="18"/>
              </w:rPr>
              <w:t>55 kWh</w:t>
            </w:r>
          </w:p>
        </w:tc>
        <w:tc>
          <w:tcPr>
            <w:tcW w:type="dxa" w:w="1814"/>
          </w:tcPr>
          <w:p>
            <w:r>
              <w:rPr>
                <w:sz w:val="18"/>
              </w:rPr>
              <w:t>SE Asia, Middle East, LatAm rapid uptake</w:t>
            </w:r>
          </w:p>
        </w:tc>
      </w:tr>
    </w:tbl>
    <w:p>
      <w:pPr>
        <w:spacing w:before="80" w:after="240"/>
        <w:jc w:val="center"/>
      </w:pPr>
      <w:r>
        <w:rPr>
          <w:i/>
          <w:color w:val="606070"/>
          <w:sz w:val="18"/>
        </w:rPr>
        <w:t>Table 7. Market demand agent parameters. Sources: IEA GEO 2024; SMMT EV Registration Data 2024; UK DfT ZEV mandate consultation 2023. Total 2023 demand: 822 GWh. Entries marked ★ are newly added in version 2.0.</w:t>
      </w:r>
    </w:p>
    <w:p>
      <w:r>
        <w:br w:type="page"/>
      </w:r>
    </w:p>
    <w:p>
      <w:pPr>
        <w:keepNext/>
        <w:spacing w:before="280" w:after="120"/>
        <w:pBdr>
          <w:bottom w:val="single" w:sz="6" w:space="4" w:color="2e5f9e"/>
        </w:pBdr>
      </w:pPr>
      <w:r>
        <w:rPr>
          <w:b/>
          <w:color w:val="1E3A5F"/>
          <w:sz w:val="28"/>
        </w:rPr>
        <w:t>7.  UK EV MANUFACTURERS — DETAILED PROFILE</w:t>
      </w:r>
    </w:p>
    <w:p>
      <w:pPr>
        <w:spacing w:after="100" w:lineRule="auto" w:line="276"/>
        <w:ind w:left="0"/>
      </w:pPr>
      <w:r>
        <w:rPr>
          <w:sz w:val="20"/>
        </w:rPr>
        <w:t>The UK OEM group is a new addition in version 2.0, introduced to capture the distinct supply chain vulnerabilities arising from the UK's post-Brexit position outside the EU Single Market, the absence of domestic large-scale gigafactory capacity, and the rules-of-origin obligations embedded in the UK–EU Trade and Cooperation Agreement (TCA).</w:t>
      </w:r>
    </w:p>
    <w:p>
      <w:pPr>
        <w:keepNext/>
        <w:spacing w:before="280" w:after="120"/>
      </w:pPr>
      <w:r>
        <w:rPr>
          <w:b/>
          <w:color w:val="2E5F9E"/>
          <w:sz w:val="23"/>
        </w:rPr>
        <w:t>7.1  Constituents</w:t>
      </w:r>
    </w:p>
    <w:p>
      <w:pPr>
        <w:spacing w:after="100" w:lineRule="auto" w:line="276"/>
        <w:ind w:left="0"/>
      </w:pPr>
      <w:r>
        <w:rPr>
          <w:sz w:val="20"/>
        </w:rPr>
        <w:t>The UK OEM group aggregates three primary manufacturing constituencies:</w:t>
      </w:r>
    </w:p>
    <w:p>
      <w:pPr>
        <w:pStyle w:val="ListBullet"/>
        <w:spacing w:after="60"/>
        <w:ind w:left="340"/>
      </w:pPr>
      <w:r>
        <w:rPr>
          <w:sz w:val="20"/>
        </w:rPr>
        <w:t>Jaguar Land Rover (JLR) — owned by Tata Motors. JLR targets 100% of its Jaguar nameplate to become BEV by 2025, and is expanding with the 'JLR Reimagined' strategy. FY2023/24 production: approximately 431,000 vehicles total (JLR AR 2024), with BEV production ramping significantly. JLR announced a strategic cell supply partnership with Samsung SDI (2023).</w:t>
      </w:r>
    </w:p>
    <w:p>
      <w:pPr>
        <w:pStyle w:val="ListBullet"/>
        <w:spacing w:after="60"/>
        <w:ind w:left="340"/>
      </w:pPr>
      <w:r>
        <w:rPr>
          <w:sz w:val="20"/>
        </w:rPr>
        <w:t>BMW Group MINI Oxford — The Oxford plant produces the MINI Electric (Cooper E) and has committed to a new all-electric MINI line-up from 2030. Cell supply from Samsung SDI's Hungarian gigafactory (BMW Group, 2023).</w:t>
      </w:r>
    </w:p>
    <w:p>
      <w:pPr>
        <w:pStyle w:val="ListBullet"/>
        <w:spacing w:after="60"/>
        <w:ind w:left="340"/>
      </w:pPr>
      <w:r>
        <w:rPr>
          <w:sz w:val="20"/>
        </w:rPr>
        <w:t>Vauxhall (Stellantis) — Ellesmere Port plant is the first Stellantis site converted to 100% electric vehicle production in the UK (Vauxhall Astra Electric and Combo Electric van). Cell supply from LG ES (Poland) and SK On (Hungary) (Stellantis, 2023).</w:t>
      </w:r>
    </w:p>
    <w:p>
      <w:pPr>
        <w:spacing w:after="100" w:lineRule="auto" w:line="276"/>
        <w:ind w:left="0"/>
      </w:pPr>
      <w:r>
        <w:rPr>
          <w:sz w:val="20"/>
        </w:rPr>
        <w:t>Combined EV production: approximately 175,000 units per year (SMMT Production Statistics 2024). This represents approximately 1.25% of the global 14 million BEV production base.</w:t>
      </w:r>
    </w:p>
    <w:p>
      <w:pPr>
        <w:keepNext/>
        <w:spacing w:before="280" w:after="120"/>
      </w:pPr>
      <w:r>
        <w:rPr>
          <w:b/>
          <w:color w:val="2E5F9E"/>
          <w:sz w:val="23"/>
        </w:rPr>
        <w:t>7.2  Post-Brexit Rules-of-Origin (RoO) Risk</w:t>
      </w:r>
    </w:p>
    <w:p>
      <w:pPr>
        <w:spacing w:after="100" w:lineRule="auto" w:line="276"/>
        <w:ind w:left="0"/>
      </w:pPr>
      <w:r>
        <w:rPr>
          <w:sz w:val="20"/>
        </w:rPr>
        <w:t>Under the UK–EU Trade and Cooperation Agreement (TCA, Annex ORIG-2), EVs exported from the UK to the EU require a minimum fraction of UK or EU originating content to qualify for zero tariff treatment. The threshold schedule is:</w:t>
      </w:r>
    </w:p>
    <w:p>
      <w:pPr>
        <w:pStyle w:val="ListBullet"/>
        <w:spacing w:after="60"/>
        <w:ind w:left="340"/>
      </w:pPr>
      <w:r>
        <w:rPr>
          <w:sz w:val="20"/>
        </w:rPr>
        <w:t>2024–2025: 40% UK/EU value added required (battery cells count only if produced in UK or EU)</w:t>
      </w:r>
    </w:p>
    <w:p>
      <w:pPr>
        <w:pStyle w:val="ListBullet"/>
        <w:spacing w:after="60"/>
        <w:ind w:left="340"/>
      </w:pPr>
      <w:r>
        <w:rPr>
          <w:sz w:val="20"/>
        </w:rPr>
        <w:t>2026: threshold rises to 45%</w:t>
      </w:r>
    </w:p>
    <w:p>
      <w:pPr>
        <w:pStyle w:val="ListBullet"/>
        <w:spacing w:after="60"/>
        <w:ind w:left="340"/>
      </w:pPr>
      <w:r>
        <w:rPr>
          <w:sz w:val="20"/>
        </w:rPr>
        <w:t>2027 onwards: threshold rises to 55%</w:t>
      </w:r>
    </w:p>
    <w:p>
      <w:pPr>
        <w:spacing w:after="100" w:lineRule="auto" w:line="276"/>
        <w:ind w:left="0"/>
      </w:pPr>
      <w:r>
        <w:rPr>
          <w:sz w:val="20"/>
        </w:rPr>
        <w:t>UK OEMs sourcing battery cells from South Korea or Japan (Samsung SDI, LG ES, SK On, Panasonic) — even from those makers' EU-based factories — may face a 10% MFN tariff on exports to the EU if origin rules cannot be satisfied. AESC Sunderland (0.2% of global cell supply as of 2023) is currently the only source of UK-origin cells at scale. This creates acute pressure to accelerate domestic cell capacity — reflected in the UK Automotive Transformation Fund (BEIS, 2023) grants to AESC and the ambition for 100 GWh UK gigafactory capacity by 2030.</w:t>
      </w:r>
    </w:p>
    <w:p>
      <w:pPr>
        <w:keepNext/>
        <w:spacing w:before="280" w:after="120"/>
      </w:pPr>
      <w:r>
        <w:rPr>
          <w:b/>
          <w:color w:val="2E5F9E"/>
          <w:sz w:val="23"/>
        </w:rPr>
        <w:t>7.3  Model Representation: uk_supply_chain_friction Scenario</w:t>
      </w:r>
    </w:p>
    <w:p>
      <w:pPr>
        <w:spacing w:after="100" w:lineRule="auto" w:line="276"/>
        <w:ind w:left="0"/>
      </w:pPr>
      <w:r>
        <w:rPr>
          <w:sz w:val="20"/>
        </w:rPr>
        <w:t>The post-Brexit supply chain friction is modelled through the uk_supply_chain_friction scenario, which applies two simultaneous shocks calibrated to SMMT 2023 post-Brexit impact assessment data:</w:t>
      </w:r>
    </w:p>
    <w:p>
      <w:pPr>
        <w:pStyle w:val="ListBullet"/>
        <w:spacing w:after="60"/>
        <w:ind w:left="340"/>
      </w:pPr>
      <w:r>
        <w:rPr>
          <w:sz w:val="20"/>
        </w:rPr>
        <w:t>oem_uk_oem shock (severity 0.10, weeks 4–56): −10% OEM assembly throughput from customs dwell time, cross-border documentation overhead, and just-in-time scheduling disruption. SMMT (2023) estimates friction adds approximately 1.8% to unit cost; combined with schedule uncertainty, this translates to approximately 10% throughput reduction in the first year.</w:t>
      </w:r>
    </w:p>
    <w:p>
      <w:pPr>
        <w:pStyle w:val="ListBullet"/>
        <w:spacing w:after="60"/>
        <w:ind w:left="340"/>
      </w:pPr>
      <w:r>
        <w:rPr>
          <w:sz w:val="20"/>
        </w:rPr>
        <w:t>oem_uk_oem shock (severity 0.05, weeks 56–108): −5% residual friction as firms establish new routing protocols and dual-source arrangements.</w:t>
      </w:r>
    </w:p>
    <w:p>
      <w:pPr>
        <w:pStyle w:val="ListBullet"/>
        <w:spacing w:after="60"/>
        <w:ind w:left="340"/>
      </w:pPr>
      <w:r>
        <w:rPr>
          <w:sz w:val="20"/>
        </w:rPr>
        <w:t>t1_harness shock (severity 0.08, weeks 4–30): −8% harness delivery rate reflecting Dover–Calais border congestion effects on JIT harness inbound logistics.</w:t>
      </w:r>
    </w:p>
    <w:p>
      <w:r>
        <w:br w:type="page"/>
      </w:r>
    </w:p>
    <w:p>
      <w:pPr>
        <w:keepNext/>
        <w:spacing w:before="280" w:after="120"/>
        <w:pBdr>
          <w:bottom w:val="single" w:sz="6" w:space="4" w:color="2e5f9e"/>
        </w:pBdr>
      </w:pPr>
      <w:r>
        <w:rPr>
          <w:b/>
          <w:color w:val="1E3A5F"/>
          <w:sz w:val="28"/>
        </w:rPr>
        <w:t>8.  CHINESE EV MANUFACTURERS — DETAILED PROFILE</w:t>
      </w:r>
    </w:p>
    <w:p>
      <w:pPr>
        <w:spacing w:after="100" w:lineRule="auto" w:line="276"/>
        <w:ind w:left="0"/>
      </w:pPr>
      <w:r>
        <w:rPr>
          <w:sz w:val="20"/>
        </w:rPr>
        <w:t>In version 2.0, the Chinese OEM group is disaggregated into two separate agents to capture the structurally different supply chain positions of BYD — the world's most vertically integrated EV producer — and the broader Chinese OEM market dominated by CATL-dependent manufacturers.</w:t>
      </w:r>
    </w:p>
    <w:p>
      <w:pPr>
        <w:keepNext/>
        <w:spacing w:before="280" w:after="120"/>
      </w:pPr>
      <w:r>
        <w:rPr>
          <w:b/>
          <w:color w:val="2E5F9E"/>
          <w:sz w:val="23"/>
        </w:rPr>
        <w:t>8.1  BYD OEM Group</w:t>
      </w:r>
    </w:p>
    <w:p>
      <w:pPr>
        <w:spacing w:after="100" w:lineRule="auto" w:line="276"/>
        <w:ind w:left="0"/>
      </w:pPr>
      <w:r>
        <w:rPr>
          <w:sz w:val="20"/>
        </w:rPr>
        <w:t>BYD Co., Ltd. delivered 1,574,822 pure battery electric vehicles (BEVs) in 2023 (BYD Annual Report 2023), making it the world's largest BEV producer. BYD's supply chain is characterised by extreme vertical integration across cells (BYD Blade LFP technology, in-house production at Fudi Battery), electric motors (BYD e-Platform 3.0), power semiconductors (BYD Semiconductor, SiC and IGBT modules), and electronic control units. Key model parameters:</w:t>
      </w:r>
    </w:p>
    <w:p>
      <w:pPr>
        <w:pStyle w:val="ListBullet"/>
        <w:spacing w:after="60"/>
        <w:ind w:left="340"/>
      </w:pPr>
      <w:r>
        <w:rPr>
          <w:sz w:val="20"/>
        </w:rPr>
        <w:t>annual_target_k = 1,575 (BYD AR 2023: 1,574,822 BEV units)</w:t>
      </w:r>
    </w:p>
    <w:p>
      <w:pPr>
        <w:pStyle w:val="ListBullet"/>
        <w:spacing w:after="60"/>
        <w:ind w:left="340"/>
      </w:pPr>
      <w:r>
        <w:rPr>
          <w:sz w:val="20"/>
        </w:rPr>
        <w:t>vertical_integration = 0.95 (highest in industry)</w:t>
      </w:r>
    </w:p>
    <w:p>
      <w:pPr>
        <w:pStyle w:val="ListBullet"/>
        <w:spacing w:after="60"/>
        <w:ind w:left="340"/>
      </w:pPr>
      <w:r>
        <w:rPr>
          <w:sz w:val="20"/>
        </w:rPr>
        <w:t>cell_sources: 95% BYD Cells (Blade LFP), 5% CATL</w:t>
      </w:r>
    </w:p>
    <w:p>
      <w:pPr>
        <w:pStyle w:val="ListBullet"/>
        <w:spacing w:after="60"/>
        <w:ind w:left="340"/>
      </w:pPr>
      <w:r>
        <w:rPr>
          <w:sz w:val="20"/>
        </w:rPr>
        <w:t>safety_stock_weeks = 3 (shorter buffer; internalised supply chain reduces external exposure)</w:t>
      </w:r>
    </w:p>
    <w:p>
      <w:pPr>
        <w:spacing w:after="100" w:lineRule="auto" w:line="276"/>
        <w:ind w:left="0"/>
      </w:pPr>
      <w:r>
        <w:rPr>
          <w:sz w:val="20"/>
        </w:rPr>
        <w:t>BYD's LFP dominance (Blade cells are 90% LFP) provides natural immunity to cobalt shocks (DRC risk), and its self-supplied cell base provides immunity to CATL-specific disruptions. In the model, BYD experiences significantly lower production losses under DRC cobalt, REE restriction, and CATL disruption scenarios compared with other Chinese OEMs.</w:t>
      </w:r>
    </w:p>
    <w:p>
      <w:pPr>
        <w:keepNext/>
        <w:spacing w:before="280" w:after="120"/>
      </w:pPr>
      <w:r>
        <w:rPr>
          <w:b/>
          <w:color w:val="2E5F9E"/>
          <w:sz w:val="23"/>
        </w:rPr>
        <w:t>8.2  Other Chinese OEM Group</w:t>
      </w:r>
    </w:p>
    <w:p>
      <w:pPr>
        <w:spacing w:after="100" w:lineRule="auto" w:line="276"/>
        <w:ind w:left="0"/>
      </w:pPr>
      <w:r>
        <w:rPr>
          <w:sz w:val="20"/>
        </w:rPr>
        <w:t>This group aggregates SAIC Motor, Geely Auto (including Zeekr, Lynk &amp; Co), NIO, Xpeng, Li Auto, GAC Aion, CHERY, and other Chinese NEV producers. Total BEV production: approximately 6,825,000 units per year (IEA GEO 2024 China total minus BYD BEV). Key characteristics:</w:t>
      </w:r>
    </w:p>
    <w:p>
      <w:pPr>
        <w:pStyle w:val="ListBullet"/>
        <w:spacing w:after="60"/>
        <w:ind w:left="340"/>
      </w:pPr>
      <w:r>
        <w:rPr>
          <w:sz w:val="20"/>
        </w:rPr>
        <w:t>CATL dependency: approximately 55% of cells sourced from CATL, creating the primary concentration risk (cell_sources: CATL 55%, CALB 15%, BYD Cells 10%, Others 20%)</w:t>
      </w:r>
    </w:p>
    <w:p>
      <w:pPr>
        <w:pStyle w:val="ListBullet"/>
        <w:spacing w:after="60"/>
        <w:ind w:left="340"/>
      </w:pPr>
      <w:r>
        <w:rPr>
          <w:sz w:val="20"/>
        </w:rPr>
        <w:t>Heterogeneous integration: ranges from SAIC's CATL joint venture (moderate VI) to NIO and Xpeng (low VI, fully outsourced cells)</w:t>
      </w:r>
    </w:p>
    <w:p>
      <w:pPr>
        <w:pStyle w:val="ListBullet"/>
        <w:spacing w:after="60"/>
        <w:ind w:left="340"/>
      </w:pPr>
      <w:r>
        <w:rPr>
          <w:sz w:val="20"/>
        </w:rPr>
        <w:t>NMC exposure: much of the CATL supply is NMC chemistry (CATL NMC fraction 55%), creating cobalt vulnerability despite being a Chinese producer</w:t>
      </w:r>
    </w:p>
    <w:p>
      <w:pPr>
        <w:keepNext/>
        <w:spacing w:before="280" w:after="120"/>
      </w:pPr>
      <w:r>
        <w:rPr>
          <w:b/>
          <w:color w:val="2E5F9E"/>
          <w:sz w:val="23"/>
        </w:rPr>
        <w:t>8.3  CALB — New Cell Maker Agent</w:t>
      </w:r>
    </w:p>
    <w:p>
      <w:pPr>
        <w:spacing w:after="100" w:lineRule="auto" w:line="276"/>
        <w:ind w:left="0"/>
      </w:pPr>
      <w:r>
        <w:rPr>
          <w:sz w:val="20"/>
        </w:rPr>
        <w:t>China Aviation Lithium Battery Co., Ltd. (CALB) is introduced as a separate cell maker agent in version 2.0. CALB ranked fourth globally in 2023 EV cell deliveries (SNE Research, 2023) with approximately 41 GWh deployed. CALB's LCTP (Lithium Cell Technology Platform) chemistry is 80% LFP / 20% NMC, reflecting its focus on commercial vehicles and lower-cost passenger EVs. Key customers include Li Auto, GAC Aion, and Chery. CALB listed on the Hong Kong Stock Exchange in 2022 and disclosed capacity expansion targets of 300 GWh by 2025 (CALB IPO Prospectus, 2022).</w:t>
      </w:r>
    </w:p>
    <w:p>
      <w:pPr>
        <w:keepNext/>
        <w:spacing w:before="280" w:after="120"/>
      </w:pPr>
      <w:r>
        <w:rPr>
          <w:b/>
          <w:color w:val="2E5F9E"/>
          <w:sz w:val="23"/>
        </w:rPr>
        <w:t>8.4  China CATL Disruption Scenario</w:t>
      </w:r>
    </w:p>
    <w:p>
      <w:pPr>
        <w:spacing w:after="100" w:lineRule="auto" w:line="276"/>
        <w:ind w:left="0"/>
      </w:pPr>
      <w:r>
        <w:rPr>
          <w:sz w:val="20"/>
        </w:rPr>
        <w:t>The china_catl_disruption scenario tests the systemic risk of CATL's 37% global cell market share. A major disruption at the primary Ningde/Yibin production cluster (−45% CATL output for 65 weeks) propagates through the shared cell supply pool to all OEMs in proportion to their CATL dependency. An analogous but smaller event occurred in August 2022 when Sichuan provincial power rationing reduced CATL Yibin output by approximately 15% for three weeks. The model quantifies the aggregate global cost of this concentration: cumulative production loss, peak weekly shortfall, and recovery timeline under a major long-duration disruption.</w:t>
      </w:r>
    </w:p>
    <w:p>
      <w:r>
        <w:br w:type="page"/>
      </w:r>
    </w:p>
    <w:p>
      <w:pPr>
        <w:keepNext/>
        <w:spacing w:before="280" w:after="120"/>
        <w:pBdr>
          <w:bottom w:val="single" w:sz="6" w:space="4" w:color="2e5f9e"/>
        </w:pBdr>
      </w:pPr>
      <w:r>
        <w:rPr>
          <w:b/>
          <w:color w:val="1E3A5F"/>
          <w:sz w:val="28"/>
        </w:rPr>
        <w:t>9.  SHOCK SCENARIOS</w:t>
      </w:r>
    </w:p>
    <w:p>
      <w:pPr>
        <w:spacing w:after="100" w:lineRule="auto" w:line="276"/>
        <w:ind w:left="0"/>
      </w:pPr>
      <w:r>
        <w:rPr>
          <w:sz w:val="20"/>
        </w:rPr>
        <w:t>Ten shock scenarios are implemented, each calibrated to a specific documented event or plausible geopolitical risk. Table 8 provides the complete scenario inventory with calibration sources. Two scenarios are new in version 2.0 (marked ★).</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340"/>
            <w:shd w:val="clear" w:color="auto" w:fill="2e5f9e"/>
            <w:vAlign w:val="center"/>
          </w:tcPr>
          <w:p>
            <w:pPr>
              <w:jc w:val="center"/>
            </w:pPr>
            <w:r>
              <w:rPr>
                <w:b/>
                <w:color w:val="FFFFFF"/>
                <w:sz w:val="18"/>
              </w:rPr>
              <w:t>ID</w:t>
            </w:r>
          </w:p>
        </w:tc>
        <w:tc>
          <w:tcPr>
            <w:tcW w:type="dxa" w:w="2154"/>
            <w:shd w:val="clear" w:color="auto" w:fill="2e5f9e"/>
            <w:vAlign w:val="center"/>
          </w:tcPr>
          <w:p>
            <w:pPr>
              <w:jc w:val="center"/>
            </w:pPr>
            <w:r>
              <w:rPr>
                <w:b/>
                <w:color w:val="FFFFFF"/>
                <w:sz w:val="18"/>
              </w:rPr>
              <w:t>Scenario name</w:t>
            </w:r>
          </w:p>
        </w:tc>
        <w:tc>
          <w:tcPr>
            <w:tcW w:type="dxa" w:w="1984"/>
            <w:shd w:val="clear" w:color="auto" w:fill="2e5f9e"/>
            <w:vAlign w:val="center"/>
          </w:tcPr>
          <w:p>
            <w:pPr>
              <w:jc w:val="center"/>
            </w:pPr>
            <w:r>
              <w:rPr>
                <w:b/>
                <w:color w:val="FFFFFF"/>
                <w:sz w:val="18"/>
              </w:rPr>
              <w:t>Target(s)</w:t>
            </w:r>
          </w:p>
        </w:tc>
        <w:tc>
          <w:tcPr>
            <w:tcW w:type="dxa" w:w="1587"/>
            <w:shd w:val="clear" w:color="auto" w:fill="2e5f9e"/>
            <w:vAlign w:val="center"/>
          </w:tcPr>
          <w:p>
            <w:pPr>
              <w:jc w:val="center"/>
            </w:pPr>
            <w:r>
              <w:rPr>
                <w:b/>
                <w:color w:val="FFFFFF"/>
                <w:sz w:val="18"/>
              </w:rPr>
              <w:t>Timing (weeks)</w:t>
            </w:r>
          </w:p>
        </w:tc>
        <w:tc>
          <w:tcPr>
            <w:tcW w:type="dxa" w:w="907"/>
            <w:shd w:val="clear" w:color="auto" w:fill="2e5f9e"/>
            <w:vAlign w:val="center"/>
          </w:tcPr>
          <w:p>
            <w:pPr>
              <w:jc w:val="center"/>
            </w:pPr>
            <w:r>
              <w:rPr>
                <w:b/>
                <w:color w:val="FFFFFF"/>
                <w:sz w:val="18"/>
              </w:rPr>
              <w:t>Severity</w:t>
            </w:r>
          </w:p>
        </w:tc>
        <w:tc>
          <w:tcPr>
            <w:tcW w:type="dxa" w:w="2948"/>
            <w:shd w:val="clear" w:color="auto" w:fill="2e5f9e"/>
            <w:vAlign w:val="center"/>
          </w:tcPr>
          <w:p>
            <w:pPr>
              <w:jc w:val="center"/>
            </w:pPr>
            <w:r>
              <w:rPr>
                <w:b/>
                <w:color w:val="FFFFFF"/>
                <w:sz w:val="18"/>
              </w:rPr>
              <w:t>Calibration basis</w:t>
            </w:r>
          </w:p>
        </w:tc>
      </w:tr>
      <w:tr>
        <w:tc>
          <w:tcPr>
            <w:tcW w:type="dxa" w:w="1512"/>
            <w:shd w:val="clear" w:color="auto" w:fill="f0f4f8"/>
          </w:tcPr>
          <w:p>
            <w:r>
              <w:rPr>
                <w:b/>
                <w:sz w:val="18"/>
              </w:rPr>
              <w:t>S0</w:t>
            </w:r>
          </w:p>
        </w:tc>
        <w:tc>
          <w:tcPr>
            <w:tcW w:type="dxa" w:w="1512"/>
            <w:shd w:val="clear" w:color="auto" w:fill="f0f4f8"/>
          </w:tcPr>
          <w:p>
            <w:r>
              <w:rPr>
                <w:sz w:val="18"/>
              </w:rPr>
              <w:t>baseline</w:t>
            </w:r>
          </w:p>
        </w:tc>
        <w:tc>
          <w:tcPr>
            <w:tcW w:type="dxa" w:w="1512"/>
            <w:shd w:val="clear" w:color="auto" w:fill="f0f4f8"/>
          </w:tcPr>
          <w:p>
            <w:r>
              <w:rPr>
                <w:sz w:val="18"/>
              </w:rPr>
              <w:t>None</w:t>
            </w:r>
          </w:p>
        </w:tc>
        <w:tc>
          <w:tcPr>
            <w:tcW w:type="dxa" w:w="1512"/>
            <w:shd w:val="clear" w:color="auto" w:fill="f0f4f8"/>
          </w:tcPr>
          <w:p>
            <w:r>
              <w:rPr>
                <w:sz w:val="18"/>
              </w:rPr>
              <w:t>—</w:t>
            </w:r>
          </w:p>
        </w:tc>
        <w:tc>
          <w:tcPr>
            <w:tcW w:type="dxa" w:w="1512"/>
            <w:shd w:val="clear" w:color="auto" w:fill="f0f4f8"/>
          </w:tcPr>
          <w:p>
            <w:r>
              <w:rPr>
                <w:sz w:val="18"/>
              </w:rPr>
              <w:t>—</w:t>
            </w:r>
          </w:p>
        </w:tc>
        <w:tc>
          <w:tcPr>
            <w:tcW w:type="dxa" w:w="1512"/>
            <w:shd w:val="clear" w:color="auto" w:fill="f0f4f8"/>
          </w:tcPr>
          <w:p>
            <w:r>
              <w:rPr>
                <w:sz w:val="18"/>
              </w:rPr>
              <w:t>No shocks; pure 29%/yr demand growth trajectory</w:t>
            </w:r>
          </w:p>
        </w:tc>
      </w:tr>
      <w:tr>
        <w:tc>
          <w:tcPr>
            <w:tcW w:type="dxa" w:w="1512"/>
          </w:tcPr>
          <w:p>
            <w:r>
              <w:rPr>
                <w:b/>
                <w:sz w:val="18"/>
              </w:rPr>
              <w:t>S1</w:t>
            </w:r>
          </w:p>
        </w:tc>
        <w:tc>
          <w:tcPr>
            <w:tcW w:type="dxa" w:w="1512"/>
          </w:tcPr>
          <w:p>
            <w:r>
              <w:rPr>
                <w:sz w:val="18"/>
              </w:rPr>
              <w:t>ukraine_harness</w:t>
            </w:r>
          </w:p>
        </w:tc>
        <w:tc>
          <w:tcPr>
            <w:tcW w:type="dxa" w:w="1512"/>
          </w:tcPr>
          <w:p>
            <w:r>
              <w:rPr>
                <w:sz w:val="18"/>
              </w:rPr>
              <w:t>t1_harness</w:t>
            </w:r>
          </w:p>
        </w:tc>
        <w:tc>
          <w:tcPr>
            <w:tcW w:type="dxa" w:w="1512"/>
          </w:tcPr>
          <w:p>
            <w:r>
              <w:rPr>
                <w:sz w:val="18"/>
              </w:rPr>
              <w:t>4–12: acute</w:t>
              <w:br/>
              <w:t>12–36: partial</w:t>
            </w:r>
          </w:p>
        </w:tc>
        <w:tc>
          <w:tcPr>
            <w:tcW w:type="dxa" w:w="1512"/>
          </w:tcPr>
          <w:p>
            <w:r>
              <w:rPr>
                <w:sz w:val="18"/>
              </w:rPr>
              <w:t>0.80</w:t>
              <w:br/>
              <w:t>0.35</w:t>
            </w:r>
          </w:p>
        </w:tc>
        <w:tc>
          <w:tcPr>
            <w:tcW w:type="dxa" w:w="1512"/>
          </w:tcPr>
          <w:p>
            <w:r>
              <w:rPr>
                <w:sz w:val="18"/>
              </w:rPr>
              <w:t>Leoni AG plant closures Feb 2022; €800M/yr = ~30% EU harness supply (Leoni AR 2022)</w:t>
            </w:r>
          </w:p>
        </w:tc>
      </w:tr>
      <w:tr>
        <w:tc>
          <w:tcPr>
            <w:tcW w:type="dxa" w:w="1512"/>
            <w:shd w:val="clear" w:color="auto" w:fill="f0f4f8"/>
          </w:tcPr>
          <w:p>
            <w:r>
              <w:rPr>
                <w:b/>
                <w:sz w:val="18"/>
              </w:rPr>
              <w:t>S2</w:t>
            </w:r>
          </w:p>
        </w:tc>
        <w:tc>
          <w:tcPr>
            <w:tcW w:type="dxa" w:w="1512"/>
            <w:shd w:val="clear" w:color="auto" w:fill="f0f4f8"/>
          </w:tcPr>
          <w:p>
            <w:r>
              <w:rPr>
                <w:sz w:val="18"/>
              </w:rPr>
              <w:t>drc_cobalt</w:t>
            </w:r>
          </w:p>
        </w:tc>
        <w:tc>
          <w:tcPr>
            <w:tcW w:type="dxa" w:w="1512"/>
            <w:shd w:val="clear" w:color="auto" w:fill="f0f4f8"/>
          </w:tcPr>
          <w:p>
            <w:r>
              <w:rPr>
                <w:sz w:val="18"/>
              </w:rPr>
              <w:t>cobalt_drc</w:t>
            </w:r>
          </w:p>
        </w:tc>
        <w:tc>
          <w:tcPr>
            <w:tcW w:type="dxa" w:w="1512"/>
            <w:shd w:val="clear" w:color="auto" w:fill="f0f4f8"/>
          </w:tcPr>
          <w:p>
            <w:r>
              <w:rPr>
                <w:sz w:val="18"/>
              </w:rPr>
              <w:t>26–52</w:t>
            </w:r>
          </w:p>
        </w:tc>
        <w:tc>
          <w:tcPr>
            <w:tcW w:type="dxa" w:w="1512"/>
            <w:shd w:val="clear" w:color="auto" w:fill="f0f4f8"/>
          </w:tcPr>
          <w:p>
            <w:r>
              <w:rPr>
                <w:sz w:val="18"/>
              </w:rPr>
              <w:t>0.50</w:t>
            </w:r>
          </w:p>
        </w:tc>
        <w:tc>
          <w:tcPr>
            <w:tcW w:type="dxa" w:w="1512"/>
            <w:shd w:val="clear" w:color="auto" w:fill="f0f4f8"/>
          </w:tcPr>
          <w:p>
            <w:r>
              <w:rPr>
                <w:sz w:val="18"/>
              </w:rPr>
              <w:t>IEA CMMR 2023 political instability scenario; DRC = 70% global cobalt (USGS MCS 2024)</w:t>
            </w:r>
          </w:p>
        </w:tc>
      </w:tr>
      <w:tr>
        <w:tc>
          <w:tcPr>
            <w:tcW w:type="dxa" w:w="1512"/>
          </w:tcPr>
          <w:p>
            <w:r>
              <w:rPr>
                <w:b/>
                <w:sz w:val="18"/>
              </w:rPr>
              <w:t>S3</w:t>
            </w:r>
          </w:p>
        </w:tc>
        <w:tc>
          <w:tcPr>
            <w:tcW w:type="dxa" w:w="1512"/>
          </w:tcPr>
          <w:p>
            <w:r>
              <w:rPr>
                <w:sz w:val="18"/>
              </w:rPr>
              <w:t>sic_bottleneck</w:t>
            </w:r>
          </w:p>
        </w:tc>
        <w:tc>
          <w:tcPr>
            <w:tcW w:type="dxa" w:w="1512"/>
          </w:tcPr>
          <w:p>
            <w:r>
              <w:rPr>
                <w:sz w:val="18"/>
              </w:rPr>
              <w:t>sic_wolfspeed</w:t>
              <w:br/>
              <w:t>sic_coherent</w:t>
            </w:r>
          </w:p>
        </w:tc>
        <w:tc>
          <w:tcPr>
            <w:tcW w:type="dxa" w:w="1512"/>
          </w:tcPr>
          <w:p>
            <w:r>
              <w:rPr>
                <w:sz w:val="18"/>
              </w:rPr>
              <w:t>13–65</w:t>
              <w:br/>
              <w:t>13–65</w:t>
            </w:r>
          </w:p>
        </w:tc>
        <w:tc>
          <w:tcPr>
            <w:tcW w:type="dxa" w:w="1512"/>
          </w:tcPr>
          <w:p>
            <w:r>
              <w:rPr>
                <w:sz w:val="18"/>
              </w:rPr>
              <w:t>0.35</w:t>
              <w:br/>
              <w:t>0.30</w:t>
            </w:r>
          </w:p>
        </w:tc>
        <w:tc>
          <w:tcPr>
            <w:tcW w:type="dxa" w:w="1512"/>
          </w:tcPr>
          <w:p>
            <w:r>
              <w:rPr>
                <w:sz w:val="18"/>
              </w:rPr>
              <w:t>2022–24 SiC capacity crunch; 52-wk lead times; Tesla/Renault LTAs (Wolfspeed 10-K 2023)</w:t>
            </w:r>
          </w:p>
        </w:tc>
      </w:tr>
      <w:tr>
        <w:tc>
          <w:tcPr>
            <w:tcW w:type="dxa" w:w="1512"/>
            <w:shd w:val="clear" w:color="auto" w:fill="f0f4f8"/>
          </w:tcPr>
          <w:p>
            <w:r>
              <w:rPr>
                <w:b/>
                <w:sz w:val="18"/>
              </w:rPr>
              <w:t>S4</w:t>
            </w:r>
          </w:p>
        </w:tc>
        <w:tc>
          <w:tcPr>
            <w:tcW w:type="dxa" w:w="1512"/>
            <w:shd w:val="clear" w:color="auto" w:fill="f0f4f8"/>
          </w:tcPr>
          <w:p>
            <w:r>
              <w:rPr>
                <w:sz w:val="18"/>
              </w:rPr>
              <w:t>china_ree_restriction</w:t>
            </w:r>
          </w:p>
        </w:tc>
        <w:tc>
          <w:tcPr>
            <w:tcW w:type="dxa" w:w="1512"/>
            <w:shd w:val="clear" w:color="auto" w:fill="f0f4f8"/>
          </w:tcPr>
          <w:p>
            <w:r>
              <w:rPr>
                <w:sz w:val="18"/>
              </w:rPr>
              <w:t>ree_chn</w:t>
            </w:r>
          </w:p>
        </w:tc>
        <w:tc>
          <w:tcPr>
            <w:tcW w:type="dxa" w:w="1512"/>
            <w:shd w:val="clear" w:color="auto" w:fill="f0f4f8"/>
          </w:tcPr>
          <w:p>
            <w:r>
              <w:rPr>
                <w:sz w:val="18"/>
              </w:rPr>
              <w:t>52–156</w:t>
            </w:r>
          </w:p>
        </w:tc>
        <w:tc>
          <w:tcPr>
            <w:tcW w:type="dxa" w:w="1512"/>
            <w:shd w:val="clear" w:color="auto" w:fill="f0f4f8"/>
          </w:tcPr>
          <w:p>
            <w:r>
              <w:rPr>
                <w:sz w:val="18"/>
              </w:rPr>
              <w:t>0.40</w:t>
            </w:r>
          </w:p>
        </w:tc>
        <w:tc>
          <w:tcPr>
            <w:tcW w:type="dxa" w:w="1512"/>
            <w:shd w:val="clear" w:color="auto" w:fill="f0f4f8"/>
          </w:tcPr>
          <w:p>
            <w:r>
              <w:rPr>
                <w:sz w:val="18"/>
              </w:rPr>
              <w:t>Analogous to Ga/Ge export controls Aug 2023 (MOFCOM); 85% China REE processing (USGS 2024)</w:t>
            </w:r>
          </w:p>
        </w:tc>
      </w:tr>
      <w:tr>
        <w:tc>
          <w:tcPr>
            <w:tcW w:type="dxa" w:w="1512"/>
          </w:tcPr>
          <w:p>
            <w:r>
              <w:rPr>
                <w:b/>
                <w:sz w:val="18"/>
              </w:rPr>
              <w:t>S5</w:t>
            </w:r>
          </w:p>
        </w:tc>
        <w:tc>
          <w:tcPr>
            <w:tcW w:type="dxa" w:w="1512"/>
          </w:tcPr>
          <w:p>
            <w:r>
              <w:rPr>
                <w:sz w:val="18"/>
              </w:rPr>
              <w:t>compound_shock</w:t>
            </w:r>
          </w:p>
        </w:tc>
        <w:tc>
          <w:tcPr>
            <w:tcW w:type="dxa" w:w="1512"/>
          </w:tcPr>
          <w:p>
            <w:r>
              <w:rPr>
                <w:sz w:val="18"/>
              </w:rPr>
              <w:t>cobalt_drc</w:t>
              <w:br/>
              <w:t>t1_harness</w:t>
            </w:r>
          </w:p>
        </w:tc>
        <w:tc>
          <w:tcPr>
            <w:tcW w:type="dxa" w:w="1512"/>
          </w:tcPr>
          <w:p>
            <w:r>
              <w:rPr>
                <w:sz w:val="18"/>
              </w:rPr>
              <w:t>4–30</w:t>
              <w:br/>
              <w:t>4–12 / 12–36</w:t>
            </w:r>
          </w:p>
        </w:tc>
        <w:tc>
          <w:tcPr>
            <w:tcW w:type="dxa" w:w="1512"/>
          </w:tcPr>
          <w:p>
            <w:r>
              <w:rPr>
                <w:sz w:val="18"/>
              </w:rPr>
              <w:t>0.50</w:t>
              <w:br/>
              <w:t>0.80/0.35</w:t>
            </w:r>
          </w:p>
        </w:tc>
        <w:tc>
          <w:tcPr>
            <w:tcW w:type="dxa" w:w="1512"/>
          </w:tcPr>
          <w:p>
            <w:r>
              <w:rPr>
                <w:sz w:val="18"/>
              </w:rPr>
              <w:t>Stress test: correlated geopolitical risk (DRC instability + Ukraine conflict simultaneous)</w:t>
            </w:r>
          </w:p>
        </w:tc>
      </w:tr>
      <w:tr>
        <w:tc>
          <w:tcPr>
            <w:tcW w:type="dxa" w:w="1512"/>
            <w:shd w:val="clear" w:color="auto" w:fill="f0f4f8"/>
          </w:tcPr>
          <w:p>
            <w:r>
              <w:rPr>
                <w:b/>
                <w:sz w:val="18"/>
              </w:rPr>
              <w:t>S6</w:t>
            </w:r>
          </w:p>
        </w:tc>
        <w:tc>
          <w:tcPr>
            <w:tcW w:type="dxa" w:w="1512"/>
            <w:shd w:val="clear" w:color="auto" w:fill="f0f4f8"/>
          </w:tcPr>
          <w:p>
            <w:r>
              <w:rPr>
                <w:sz w:val="18"/>
              </w:rPr>
              <w:t>china_graphite</w:t>
            </w:r>
          </w:p>
        </w:tc>
        <w:tc>
          <w:tcPr>
            <w:tcW w:type="dxa" w:w="1512"/>
            <w:shd w:val="clear" w:color="auto" w:fill="f0f4f8"/>
          </w:tcPr>
          <w:p>
            <w:r>
              <w:rPr>
                <w:sz w:val="18"/>
              </w:rPr>
              <w:t>graphite_chn</w:t>
            </w:r>
          </w:p>
        </w:tc>
        <w:tc>
          <w:tcPr>
            <w:tcW w:type="dxa" w:w="1512"/>
            <w:shd w:val="clear" w:color="auto" w:fill="f0f4f8"/>
          </w:tcPr>
          <w:p>
            <w:r>
              <w:rPr>
                <w:sz w:val="18"/>
              </w:rPr>
              <w:t>8–60</w:t>
            </w:r>
          </w:p>
        </w:tc>
        <w:tc>
          <w:tcPr>
            <w:tcW w:type="dxa" w:w="1512"/>
            <w:shd w:val="clear" w:color="auto" w:fill="f0f4f8"/>
          </w:tcPr>
          <w:p>
            <w:r>
              <w:rPr>
                <w:sz w:val="18"/>
              </w:rPr>
              <w:t>0.45</w:t>
            </w:r>
          </w:p>
        </w:tc>
        <w:tc>
          <w:tcPr>
            <w:tcW w:type="dxa" w:w="1512"/>
            <w:shd w:val="clear" w:color="auto" w:fill="f0f4f8"/>
          </w:tcPr>
          <w:p>
            <w:r>
              <w:rPr>
                <w:sz w:val="18"/>
              </w:rPr>
              <w:t>China graphite export permit regime Oct 2023; 79% global supply (USGS MCS 2024)</w:t>
            </w:r>
          </w:p>
        </w:tc>
      </w:tr>
      <w:tr>
        <w:tc>
          <w:tcPr>
            <w:tcW w:type="dxa" w:w="1512"/>
          </w:tcPr>
          <w:p>
            <w:r>
              <w:rPr>
                <w:b/>
                <w:sz w:val="18"/>
              </w:rPr>
              <w:t>S7</w:t>
            </w:r>
          </w:p>
        </w:tc>
        <w:tc>
          <w:tcPr>
            <w:tcW w:type="dxa" w:w="1512"/>
          </w:tcPr>
          <w:p>
            <w:r>
              <w:rPr>
                <w:sz w:val="18"/>
              </w:rPr>
              <w:t>us_china_tariff</w:t>
            </w:r>
          </w:p>
        </w:tc>
        <w:tc>
          <w:tcPr>
            <w:tcW w:type="dxa" w:w="1512"/>
          </w:tcPr>
          <w:p>
            <w:r>
              <w:rPr>
                <w:sz w:val="18"/>
              </w:rPr>
              <w:t>cell_catl</w:t>
              <w:br/>
              <w:t>graphite_chn</w:t>
              <w:br/>
              <w:t>ree_chn</w:t>
            </w:r>
          </w:p>
        </w:tc>
        <w:tc>
          <w:tcPr>
            <w:tcW w:type="dxa" w:w="1512"/>
          </w:tcPr>
          <w:p>
            <w:r>
              <w:rPr>
                <w:sz w:val="18"/>
              </w:rPr>
              <w:t>26–260</w:t>
              <w:br/>
              <w:t>26–130</w:t>
              <w:br/>
              <w:t>52–260</w:t>
            </w:r>
          </w:p>
        </w:tc>
        <w:tc>
          <w:tcPr>
            <w:tcW w:type="dxa" w:w="1512"/>
          </w:tcPr>
          <w:p>
            <w:r>
              <w:rPr>
                <w:sz w:val="18"/>
              </w:rPr>
              <w:t>0.30</w:t>
              <w:br/>
              <w:t>0.35</w:t>
              <w:br/>
              <w:t>0.30</w:t>
            </w:r>
          </w:p>
        </w:tc>
        <w:tc>
          <w:tcPr>
            <w:tcW w:type="dxa" w:w="1512"/>
          </w:tcPr>
          <w:p>
            <w:r>
              <w:rPr>
                <w:sz w:val="18"/>
              </w:rPr>
              <w:t>US 100% EV tariff (May 2024); EU CVD 17–38% (Oct 2024); China Ga/Ge analogue retaliation</w:t>
            </w:r>
          </w:p>
        </w:tc>
      </w:tr>
      <w:tr>
        <w:tc>
          <w:tcPr>
            <w:tcW w:type="dxa" w:w="1512"/>
            <w:shd w:val="clear" w:color="auto" w:fill="f0f4f8"/>
          </w:tcPr>
          <w:p>
            <w:r>
              <w:rPr>
                <w:b/>
                <w:sz w:val="18"/>
              </w:rPr>
              <w:t>S8 ★</w:t>
            </w:r>
          </w:p>
        </w:tc>
        <w:tc>
          <w:tcPr>
            <w:tcW w:type="dxa" w:w="1512"/>
            <w:shd w:val="clear" w:color="auto" w:fill="f0f4f8"/>
          </w:tcPr>
          <w:p>
            <w:r>
              <w:rPr>
                <w:sz w:val="18"/>
              </w:rPr>
              <w:t>uk_supply_chain_friction</w:t>
            </w:r>
          </w:p>
        </w:tc>
        <w:tc>
          <w:tcPr>
            <w:tcW w:type="dxa" w:w="1512"/>
            <w:shd w:val="clear" w:color="auto" w:fill="f0f4f8"/>
          </w:tcPr>
          <w:p>
            <w:r>
              <w:rPr>
                <w:sz w:val="18"/>
              </w:rPr>
              <w:t>oem_uk_oem</w:t>
              <w:br/>
              <w:t>oem_uk_oem</w:t>
              <w:br/>
              <w:t>t1_harness</w:t>
            </w:r>
          </w:p>
        </w:tc>
        <w:tc>
          <w:tcPr>
            <w:tcW w:type="dxa" w:w="1512"/>
            <w:shd w:val="clear" w:color="auto" w:fill="f0f4f8"/>
          </w:tcPr>
          <w:p>
            <w:r>
              <w:rPr>
                <w:sz w:val="18"/>
              </w:rPr>
              <w:t>4–56</w:t>
              <w:br/>
              <w:t>56–108</w:t>
              <w:br/>
              <w:t>4–30</w:t>
            </w:r>
          </w:p>
        </w:tc>
        <w:tc>
          <w:tcPr>
            <w:tcW w:type="dxa" w:w="1512"/>
            <w:shd w:val="clear" w:color="auto" w:fill="f0f4f8"/>
          </w:tcPr>
          <w:p>
            <w:r>
              <w:rPr>
                <w:sz w:val="18"/>
              </w:rPr>
              <w:t>0.10</w:t>
              <w:br/>
              <w:t>0.05</w:t>
              <w:br/>
              <w:t>0.08</w:t>
            </w:r>
          </w:p>
        </w:tc>
        <w:tc>
          <w:tcPr>
            <w:tcW w:type="dxa" w:w="1512"/>
            <w:shd w:val="clear" w:color="auto" w:fill="f0f4f8"/>
          </w:tcPr>
          <w:p>
            <w:r>
              <w:rPr>
                <w:sz w:val="18"/>
              </w:rPr>
              <w:t>SMMT Post-Brexit Impact Assessment 2023; JLR AR 2023; UK-EU TCA RoO schedule (OJ L 444/1)</w:t>
            </w:r>
          </w:p>
        </w:tc>
      </w:tr>
      <w:tr>
        <w:tc>
          <w:tcPr>
            <w:tcW w:type="dxa" w:w="1512"/>
          </w:tcPr>
          <w:p>
            <w:r>
              <w:rPr>
                <w:b/>
                <w:sz w:val="18"/>
              </w:rPr>
              <w:t>S9 ★</w:t>
            </w:r>
          </w:p>
        </w:tc>
        <w:tc>
          <w:tcPr>
            <w:tcW w:type="dxa" w:w="1512"/>
          </w:tcPr>
          <w:p>
            <w:r>
              <w:rPr>
                <w:sz w:val="18"/>
              </w:rPr>
              <w:t>china_catl_disruption</w:t>
            </w:r>
          </w:p>
        </w:tc>
        <w:tc>
          <w:tcPr>
            <w:tcW w:type="dxa" w:w="1512"/>
          </w:tcPr>
          <w:p>
            <w:r>
              <w:rPr>
                <w:sz w:val="18"/>
              </w:rPr>
              <w:t>cell_catl</w:t>
            </w:r>
          </w:p>
        </w:tc>
        <w:tc>
          <w:tcPr>
            <w:tcW w:type="dxa" w:w="1512"/>
          </w:tcPr>
          <w:p>
            <w:r>
              <w:rPr>
                <w:sz w:val="18"/>
              </w:rPr>
              <w:t>13–78</w:t>
            </w:r>
          </w:p>
        </w:tc>
        <w:tc>
          <w:tcPr>
            <w:tcW w:type="dxa" w:w="1512"/>
          </w:tcPr>
          <w:p>
            <w:r>
              <w:rPr>
                <w:sz w:val="18"/>
              </w:rPr>
              <w:t>0.45</w:t>
            </w:r>
          </w:p>
        </w:tc>
        <w:tc>
          <w:tcPr>
            <w:tcW w:type="dxa" w:w="1512"/>
          </w:tcPr>
          <w:p>
            <w:r>
              <w:rPr>
                <w:sz w:val="18"/>
              </w:rPr>
              <w:t>CATL Yibin base power-rationing 2022; BNEF Concentration Risk Report 2023; CATL AR 2023</w:t>
            </w:r>
          </w:p>
        </w:tc>
      </w:tr>
    </w:tbl>
    <w:p>
      <w:pPr>
        <w:spacing w:before="80" w:after="240"/>
        <w:jc w:val="center"/>
      </w:pPr>
      <w:r>
        <w:rPr>
          <w:i/>
          <w:color w:val="606070"/>
          <w:sz w:val="18"/>
        </w:rPr>
        <w:t>Table 8. Shock scenario inventory. Timing is in simulation weeks (0-indexed). Severity is the fraction of target output lost (0 = no effect; 1 = total shutdown). Entries marked ★ are newly added in version 2.0.</w:t>
      </w:r>
    </w:p>
    <w:p>
      <w:r>
        <w:br w:type="page"/>
      </w:r>
    </w:p>
    <w:p>
      <w:pPr>
        <w:keepNext/>
        <w:spacing w:before="280" w:after="120"/>
        <w:pBdr>
          <w:bottom w:val="single" w:sz="6" w:space="4" w:color="2e5f9e"/>
        </w:pBdr>
      </w:pPr>
      <w:r>
        <w:rPr>
          <w:b/>
          <w:color w:val="1E3A5F"/>
          <w:sz w:val="28"/>
        </w:rPr>
        <w:t>10.  MODEL CALIBRATION AND VALIDATION</w:t>
      </w:r>
    </w:p>
    <w:p>
      <w:pPr>
        <w:spacing w:after="100" w:lineRule="auto" w:line="276"/>
        <w:ind w:left="0"/>
      </w:pPr>
      <w:r>
        <w:rPr>
          <w:sz w:val="20"/>
        </w:rPr>
        <w:t>The model is calibrated primarily to 2023 production data and is validated against two documented historical disruption events.</w:t>
      </w:r>
    </w:p>
    <w:p>
      <w:pPr>
        <w:keepNext/>
        <w:spacing w:before="280" w:after="120"/>
      </w:pPr>
      <w:r>
        <w:rPr>
          <w:b/>
          <w:color w:val="2E5F9E"/>
          <w:sz w:val="23"/>
        </w:rPr>
        <w:t>10.1  Baseline Calibration</w:t>
      </w:r>
    </w:p>
    <w:p>
      <w:pPr>
        <w:spacing w:after="100" w:lineRule="auto" w:line="276"/>
        <w:ind w:left="0"/>
      </w:pPr>
      <w:r>
        <w:rPr>
          <w:sz w:val="20"/>
        </w:rPr>
        <w:t>The model is initialised such that — in the absence of shocks — cell production, OEM output, and market demand are in steady-state balance. This is achieved by setting each cell maker's weekly capacity equal to its actual 2023 market deliveries (market_share × 822 GWh / 52 weeks) and initialising all SD stocks at their target safety-stock levels. A 4-week warm-up period is excluded from metric calculations to allow the order pipeline to stabilise.</w:t>
      </w:r>
    </w:p>
    <w:p>
      <w:pPr>
        <w:keepNext/>
        <w:spacing w:before="280" w:after="120"/>
      </w:pPr>
      <w:r>
        <w:rPr>
          <w:b/>
          <w:color w:val="2E5F9E"/>
          <w:sz w:val="23"/>
        </w:rPr>
        <w:t>10.2  Ukraine Harness Event Calibration</w:t>
      </w:r>
    </w:p>
    <w:p>
      <w:pPr>
        <w:spacing w:after="100" w:lineRule="auto" w:line="276"/>
        <w:ind w:left="0"/>
      </w:pPr>
      <w:r>
        <w:rPr>
          <w:sz w:val="20"/>
        </w:rPr>
        <w:t>The ukraine_harness scenario is calibrated against the Leoni AG disruption of February 2022. Leoni disclosed that its two Ukrainian plants (Stryi and Kolomyia) were shut within 72 hours of the Russian invasion and that those facilities represented approximately €800 million per year of revenue — equivalent to approximately 30% of European wiring harness supply. BMW, Volkswagen and Porsche confirmed production stoppages within one week. Full recovery of Leoni's production took approximately six months through relocation to Morocco and Romania. The model captures this as an 80% harness supply shock for 8 weeks followed by a 35% residual shock for 24 weeks, producing production halt weeks and recovery timelines consistent with company disclosures.</w:t>
      </w:r>
    </w:p>
    <w:p>
      <w:pPr>
        <w:keepNext/>
        <w:spacing w:before="280" w:after="120"/>
      </w:pPr>
      <w:r>
        <w:rPr>
          <w:b/>
          <w:color w:val="2E5F9E"/>
          <w:sz w:val="23"/>
        </w:rPr>
        <w:t>10.3  China Graphite Export Restriction Calibration</w:t>
      </w:r>
    </w:p>
    <w:p>
      <w:pPr>
        <w:spacing w:after="100" w:lineRule="auto" w:line="276"/>
        <w:ind w:left="0"/>
      </w:pPr>
      <w:r>
        <w:rPr>
          <w:sz w:val="20"/>
        </w:rPr>
        <w:t>The china_graphite scenario is calibrated against China's October 2023 graphite export permit requirements (MOFCOM, 2023). The 45% severity over 52 weeks reflects analyst estimates that permit processing delays reduce effective export volume by 40–50% in the short term, with gradual recovery as permit approvals are processed. Cell price responses observed in BNEF spot data (approximately +15–20% graphite premium in Q4 2023) are consistent with the model's price signal response at 45% supply severity.</w:t>
      </w:r>
    </w:p>
    <w:p>
      <w:pPr>
        <w:keepNext/>
        <w:spacing w:before="280" w:after="120"/>
        <w:pBdr>
          <w:bottom w:val="single" w:sz="6" w:space="4" w:color="2e5f9e"/>
        </w:pBdr>
      </w:pPr>
      <w:r>
        <w:rPr>
          <w:b/>
          <w:color w:val="1E3A5F"/>
          <w:sz w:val="28"/>
        </w:rPr>
        <w:t>11.  LIMITATIONS AND FUTURE WORK</w:t>
      </w:r>
    </w:p>
    <w:p>
      <w:pPr>
        <w:spacing w:after="100" w:lineRule="auto" w:line="276"/>
        <w:ind w:left="0"/>
      </w:pPr>
      <w:r>
        <w:rPr>
          <w:sz w:val="20"/>
        </w:rPr>
        <w:t>The following limitations should be considered when interpreting model outputs:</w:t>
      </w:r>
    </w:p>
    <w:p>
      <w:pPr>
        <w:pStyle w:val="ListBullet"/>
        <w:spacing w:after="60"/>
        <w:ind w:left="340"/>
      </w:pPr>
      <w:r>
        <w:rPr>
          <w:sz w:val="20"/>
        </w:rPr>
        <w:t>Per-OEM cell routing: the current model routes cell demand through aggregate market shares (each maker supplies all OEMs in proportion to its global share). OEM-specific cell sourcing (e.g., BYD sourcing exclusively from BYD Cells) is represented as metadata but does not yet influence simulation flows. Implementing per-OEM cell demand routing would enable direct BYD vs Other Chinese resilience comparisons and is the primary planned model extension.</w:t>
      </w:r>
    </w:p>
    <w:p>
      <w:pPr>
        <w:pStyle w:val="ListBullet"/>
        <w:spacing w:after="60"/>
        <w:ind w:left="340"/>
      </w:pPr>
      <w:r>
        <w:rPr>
          <w:sz w:val="20"/>
        </w:rPr>
        <w:t>Single-tier Tier-1 representation: the four Tier-1 agents are global aggregates. The model does not resolve sub-regional sourcing differences (e.g., EU harness suppliers vs UK harness suppliers) within each component category.</w:t>
      </w:r>
    </w:p>
    <w:p>
      <w:pPr>
        <w:pStyle w:val="ListBullet"/>
        <w:spacing w:after="60"/>
        <w:ind w:left="340"/>
      </w:pPr>
      <w:r>
        <w:rPr>
          <w:sz w:val="20"/>
        </w:rPr>
        <w:t>Static chemistry mix: each cell maker's LFP/NMC fraction is fixed throughout the simulation. In practice, CATL and others are shifting toward higher LFP fractions; a time-varying chemistry parameter would improve long-run accuracy.</w:t>
      </w:r>
    </w:p>
    <w:p>
      <w:pPr>
        <w:pStyle w:val="ListBullet"/>
        <w:spacing w:after="60"/>
        <w:ind w:left="340"/>
      </w:pPr>
      <w:r>
        <w:rPr>
          <w:sz w:val="20"/>
        </w:rPr>
        <w:t>No financial feedback: the model does not endogenise investment in new capacity. In reality, sustained high prices would trigger new mine and gigafactory investment that reduces vulnerability over multi-year horizons.</w:t>
      </w:r>
    </w:p>
    <w:p>
      <w:pPr>
        <w:pStyle w:val="ListBullet"/>
        <w:spacing w:after="60"/>
        <w:ind w:left="340"/>
      </w:pPr>
      <w:r>
        <w:rPr>
          <w:sz w:val="20"/>
        </w:rPr>
        <w:t>Demand assumed exogenous: market demand grows at a fixed YoY rate modified by a price elasticity. Endogenous demand responses (e.g., fleet electrification mandates accelerated or deferred in response to supply shocks) are not modelled.</w:t>
      </w:r>
    </w:p>
    <w:p>
      <w:pPr>
        <w:pStyle w:val="ListBullet"/>
        <w:spacing w:after="60"/>
        <w:ind w:left="340"/>
      </w:pPr>
      <w:r>
        <w:rPr>
          <w:sz w:val="20"/>
        </w:rPr>
        <w:t>UK cell production ramp: AESC Sunderland is modelled at its 2023 output (1.6 GWh/yr). The facility's planned expansion to 35 GWh/yr by 2030 is not captured in the current model horizon.</w:t>
      </w:r>
    </w:p>
    <w:p>
      <w:pPr>
        <w:keepNext/>
        <w:spacing w:before="280" w:after="120"/>
        <w:pBdr>
          <w:bottom w:val="single" w:sz="6" w:space="4" w:color="2e5f9e"/>
        </w:pBdr>
      </w:pPr>
      <w:r>
        <w:rPr>
          <w:b/>
          <w:color w:val="1E3A5F"/>
          <w:sz w:val="28"/>
        </w:rPr>
        <w:t>12.  REFERENCES</w:t>
      </w:r>
    </w:p>
    <w:p>
      <w:pPr>
        <w:spacing w:after="80"/>
        <w:ind w:left="454" w:hanging="454"/>
      </w:pPr>
      <w:r>
        <w:rPr>
          <w:sz w:val="18"/>
        </w:rPr>
        <w:t>AESC (2023). Envision AESC announces £450 million investment for second gigafactory in Sunderland. Press release, November 2023.</w:t>
      </w:r>
    </w:p>
    <w:p>
      <w:pPr>
        <w:spacing w:after="80"/>
        <w:ind w:left="454" w:hanging="454"/>
      </w:pPr>
      <w:r>
        <w:rPr>
          <w:sz w:val="18"/>
        </w:rPr>
        <w:t>BEIS (2023). Automotive Transformation Fund: gigafactory funding awards. UK Department for Business, Energy and Industrial Strategy.</w:t>
      </w:r>
    </w:p>
    <w:p>
      <w:pPr>
        <w:spacing w:after="80"/>
        <w:ind w:left="454" w:hanging="454"/>
      </w:pPr>
      <w:r>
        <w:rPr>
          <w:sz w:val="18"/>
        </w:rPr>
        <w:t>BYD Co., Ltd. (2023). Annual Report 2023. Shenzhen: BYD Co., Ltd.</w:t>
      </w:r>
    </w:p>
    <w:p>
      <w:pPr>
        <w:spacing w:after="80"/>
        <w:ind w:left="454" w:hanging="454"/>
      </w:pPr>
      <w:r>
        <w:rPr>
          <w:sz w:val="18"/>
        </w:rPr>
        <w:t>BloombergNEF (BNEF) (2023). Battery Price Survey 2023. BloombergNEF.</w:t>
      </w:r>
    </w:p>
    <w:p>
      <w:pPr>
        <w:spacing w:after="80"/>
        <w:ind w:left="454" w:hanging="454"/>
      </w:pPr>
      <w:r>
        <w:rPr>
          <w:sz w:val="18"/>
        </w:rPr>
        <w:t>Bonabeau, E. (2002). Agent-based modeling: Methods and techniques for simulating human systems. Proceedings of the National Academy of Sciences, 99(suppl 3), 7280–7287.</w:t>
      </w:r>
    </w:p>
    <w:p>
      <w:pPr>
        <w:spacing w:after="80"/>
        <w:ind w:left="454" w:hanging="454"/>
      </w:pPr>
      <w:r>
        <w:rPr>
          <w:sz w:val="18"/>
        </w:rPr>
        <w:t>BMW Group (2023). Annual Report 2023. Munich: BMW Group.</w:t>
      </w:r>
    </w:p>
    <w:p>
      <w:pPr>
        <w:spacing w:after="80"/>
        <w:ind w:left="454" w:hanging="454"/>
      </w:pPr>
      <w:r>
        <w:rPr>
          <w:sz w:val="18"/>
        </w:rPr>
        <w:t>CALB (2022). China Aviation Lithium Battery Co., Ltd. IPO Prospectus. Hong Kong Stock Exchange, October 2022.</w:t>
      </w:r>
    </w:p>
    <w:p>
      <w:pPr>
        <w:spacing w:after="80"/>
        <w:ind w:left="454" w:hanging="454"/>
      </w:pPr>
      <w:r>
        <w:rPr>
          <w:sz w:val="18"/>
        </w:rPr>
        <w:t>Forrester, J.W. (1961). Industrial Dynamics. MIT Press, Cambridge, MA.</w:t>
      </w:r>
    </w:p>
    <w:p>
      <w:pPr>
        <w:spacing w:after="80"/>
        <w:ind w:left="454" w:hanging="454"/>
      </w:pPr>
      <w:r>
        <w:rPr>
          <w:sz w:val="18"/>
        </w:rPr>
        <w:t>Größler, A., Grübner, A. and Milling, P.M. (2008). Linking operational dynamics to strategic decision-making in supply chains: a System Dynamics perspective. International Journal of Production Research, 46(12), 3259–3279.</w:t>
      </w:r>
    </w:p>
    <w:p>
      <w:pPr>
        <w:spacing w:after="80"/>
        <w:ind w:left="454" w:hanging="454"/>
      </w:pPr>
      <w:r>
        <w:rPr>
          <w:sz w:val="18"/>
        </w:rPr>
        <w:t>IEA (2023a). Global EV Outlook 2024. International Energy Agency, Paris.</w:t>
      </w:r>
    </w:p>
    <w:p>
      <w:pPr>
        <w:spacing w:after="80"/>
        <w:ind w:left="454" w:hanging="454"/>
      </w:pPr>
      <w:r>
        <w:rPr>
          <w:sz w:val="18"/>
        </w:rPr>
        <w:t>IEA (2023b). Critical Minerals Market Review 2023. International Energy Agency, Paris.</w:t>
      </w:r>
    </w:p>
    <w:p>
      <w:pPr>
        <w:spacing w:after="80"/>
        <w:ind w:left="454" w:hanging="454"/>
      </w:pPr>
      <w:r>
        <w:rPr>
          <w:sz w:val="18"/>
        </w:rPr>
        <w:t>JLR (2024). Annual Report 2023/24. Jaguar Land Rover Automotive plc.</w:t>
      </w:r>
    </w:p>
    <w:p>
      <w:pPr>
        <w:spacing w:after="80"/>
        <w:ind w:left="454" w:hanging="454"/>
      </w:pPr>
      <w:r>
        <w:rPr>
          <w:sz w:val="18"/>
        </w:rPr>
        <w:t>Lee, H.L., Padmanabhan, V. and Whang, S. (1997). Information distortion in a supply chain: The bullwhip effect. Management Science, 43(4), 546–558.</w:t>
      </w:r>
    </w:p>
    <w:p>
      <w:pPr>
        <w:spacing w:after="80"/>
        <w:ind w:left="454" w:hanging="454"/>
      </w:pPr>
      <w:r>
        <w:rPr>
          <w:sz w:val="18"/>
        </w:rPr>
        <w:t>Leoni AG (2022). Annual Report 2022 and Investor Disclosures. Leoni AG, Nuremberg.</w:t>
      </w:r>
    </w:p>
    <w:p>
      <w:pPr>
        <w:spacing w:after="80"/>
        <w:ind w:left="454" w:hanging="454"/>
      </w:pPr>
      <w:r>
        <w:rPr>
          <w:sz w:val="18"/>
        </w:rPr>
        <w:t>MOFCOM (2023). Announcement on graphite export permit requirements. Ministry of Commerce of the People's Republic of China, October 2023.</w:t>
      </w:r>
    </w:p>
    <w:p>
      <w:pPr>
        <w:spacing w:after="80"/>
        <w:ind w:left="454" w:hanging="454"/>
      </w:pPr>
      <w:r>
        <w:rPr>
          <w:sz w:val="18"/>
        </w:rPr>
        <w:t>Schieritz, N. and Größler, A. (2003). Emergent structures in supply chains — a study integrating agent-based and system dynamics modeling. Proceedings of the 36th Hawaii International Conference on System Sciences.</w:t>
      </w:r>
    </w:p>
    <w:p>
      <w:pPr>
        <w:spacing w:after="80"/>
        <w:ind w:left="454" w:hanging="454"/>
      </w:pPr>
      <w:r>
        <w:rPr>
          <w:sz w:val="18"/>
        </w:rPr>
        <w:t>SMMT (2024). SMMT Motor Industry Facts 2024. Society of Motor Manufacturers and Traders.</w:t>
      </w:r>
    </w:p>
    <w:p>
      <w:pPr>
        <w:spacing w:after="80"/>
        <w:ind w:left="454" w:hanging="454"/>
      </w:pPr>
      <w:r>
        <w:rPr>
          <w:sz w:val="18"/>
        </w:rPr>
        <w:t>SMMT (2023). Post-Brexit Supply Chain Impact Assessment. Society of Motor Manufacturers and Traders.</w:t>
      </w:r>
    </w:p>
    <w:p>
      <w:pPr>
        <w:spacing w:after="80"/>
        <w:ind w:left="454" w:hanging="454"/>
      </w:pPr>
      <w:r>
        <w:rPr>
          <w:sz w:val="18"/>
        </w:rPr>
        <w:t>SNE Research (2023). 2023 EV Battery Usage Rankings. SNE Research, Seoul.</w:t>
      </w:r>
    </w:p>
    <w:p>
      <w:pPr>
        <w:spacing w:after="80"/>
        <w:ind w:left="454" w:hanging="454"/>
      </w:pPr>
      <w:r>
        <w:rPr>
          <w:sz w:val="18"/>
        </w:rPr>
        <w:t>Stellantis (2023). Stellantis Press Release: Ellesmere Port first all-electric Stellantis plant. Stellantis N.V.</w:t>
      </w:r>
    </w:p>
    <w:p>
      <w:pPr>
        <w:spacing w:after="80"/>
        <w:ind w:left="454" w:hanging="454"/>
      </w:pPr>
      <w:r>
        <w:rPr>
          <w:sz w:val="18"/>
        </w:rPr>
        <w:t>Sterman, J.D. (2000). Business Dynamics: Systems Thinking and Modeling for a Complex World. McGraw-Hill, Boston.</w:t>
      </w:r>
    </w:p>
    <w:p>
      <w:pPr>
        <w:spacing w:after="80"/>
        <w:ind w:left="454" w:hanging="454"/>
      </w:pPr>
      <w:r>
        <w:rPr>
          <w:sz w:val="18"/>
        </w:rPr>
        <w:t>Tesfatsion, L. and Judd, K.L. (eds.) (2006). Handbook of Computational Economics, Volume 2: Agent-Based Computational Economics. North-Holland, Amsterdam.</w:t>
      </w:r>
    </w:p>
    <w:p>
      <w:pPr>
        <w:spacing w:after="80"/>
        <w:ind w:left="454" w:hanging="454"/>
      </w:pPr>
      <w:r>
        <w:rPr>
          <w:sz w:val="18"/>
        </w:rPr>
        <w:t>UK Government (2020). Trade and Cooperation Agreement (TCA), Annex ORIG-2: Rules of Origin Schedule for EVs. Official Journal of the European Union, L 444/1.</w:t>
      </w:r>
    </w:p>
    <w:p>
      <w:pPr>
        <w:spacing w:after="80"/>
        <w:ind w:left="454" w:hanging="454"/>
      </w:pPr>
      <w:r>
        <w:rPr>
          <w:sz w:val="18"/>
        </w:rPr>
        <w:t>UK DfT (2023). Zero Emission Vehicle (ZEV) mandate consultation: Government response. UK Department for Transport.</w:t>
      </w:r>
    </w:p>
    <w:p>
      <w:pPr>
        <w:spacing w:after="80"/>
        <w:ind w:left="454" w:hanging="454"/>
      </w:pPr>
      <w:r>
        <w:rPr>
          <w:sz w:val="18"/>
        </w:rPr>
        <w:t>USGS (2024). Mineral Commodity Summaries 2024. US Geological Survey, Reston, VA.</w:t>
      </w:r>
    </w:p>
    <w:p>
      <w:pPr>
        <w:spacing w:after="80"/>
        <w:ind w:left="454" w:hanging="454"/>
      </w:pPr>
      <w:r>
        <w:rPr>
          <w:sz w:val="18"/>
        </w:rPr>
        <w:t>Wolfspeed (2023). Annual Report on Form 10-K, fiscal year 2023. Wolfspeed Inc.</w:t>
      </w:r>
    </w:p>
    <w:p>
      <w:pPr>
        <w:spacing w:after="80"/>
        <w:ind w:left="454" w:hanging="454"/>
      </w:pPr>
      <w:r>
        <w:rPr>
          <w:sz w:val="18"/>
        </w:rPr>
        <w:t>Yole Intelligence (2023). Power Electronics for EV/HEV Market &amp; Technology Report 2023. Yole Intelligence.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