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EV Supply Chain Hybrid ABM + SD Model</w:t>
      </w:r>
    </w:p>
    <w:p>
      <w:pPr>
        <w:jc w:val="center"/>
      </w:pPr>
      <w:r>
        <w:rPr>
          <w:i/>
          <w:sz w:val="22"/>
        </w:rPr>
        <w:t>Technical Documentation — ODD Protocol, System Dynamics Design, Causal Loop Diagram, and Agent Specification</w:t>
      </w:r>
    </w:p>
    <w:p/>
    <w:p>
      <w:pPr>
        <w:jc w:val="center"/>
      </w:pPr>
      <w:r>
        <w:rPr>
          <w:sz w:val="20"/>
        </w:rPr>
        <w:t>Queen's University Belfast  ·  Model Building Project  ·  2024–2025</w:t>
      </w:r>
    </w:p>
    <w:p>
      <w:r>
        <w:br w:type="page"/>
      </w:r>
    </w:p>
    <w:p>
      <w:pPr>
        <w:pStyle w:val="Heading1"/>
        <w:jc w:val="left"/>
      </w:pPr>
      <w:r>
        <w:t>Table of Contents</w:t>
      </w:r>
    </w:p>
    <w:p>
      <w:pPr>
        <w:spacing w:after="40"/>
        <w:ind w:left="0"/>
      </w:pPr>
      <w:r>
        <w:t>1.  Introduction and Model Purpose</w:t>
      </w:r>
    </w:p>
    <w:p>
      <w:pPr>
        <w:spacing w:after="40"/>
        <w:ind w:left="0"/>
      </w:pPr>
      <w:r>
        <w:t>2.  ODD Protocol</w:t>
      </w:r>
    </w:p>
    <w:p>
      <w:pPr>
        <w:spacing w:after="40"/>
        <w:ind w:left="360"/>
      </w:pPr>
      <w:r>
        <w:t xml:space="preserve">    2.1  Overview</w:t>
      </w:r>
    </w:p>
    <w:p>
      <w:pPr>
        <w:spacing w:after="40"/>
        <w:ind w:left="360"/>
      </w:pPr>
      <w:r>
        <w:t xml:space="preserve">    2.2  Design Concepts</w:t>
      </w:r>
    </w:p>
    <w:p>
      <w:pPr>
        <w:spacing w:after="40"/>
        <w:ind w:left="360"/>
      </w:pPr>
      <w:r>
        <w:t xml:space="preserve">    2.3  Details</w:t>
      </w:r>
    </w:p>
    <w:p>
      <w:pPr>
        <w:spacing w:after="40"/>
        <w:ind w:left="0"/>
      </w:pPr>
      <w:r>
        <w:t>3.  System Dynamics (SD) Layer</w:t>
      </w:r>
    </w:p>
    <w:p>
      <w:pPr>
        <w:spacing w:after="40"/>
        <w:ind w:left="360"/>
      </w:pPr>
      <w:r>
        <w:t xml:space="preserve">    3.1  Architecture and Stocks</w:t>
      </w:r>
    </w:p>
    <w:p>
      <w:pPr>
        <w:spacing w:after="40"/>
        <w:ind w:left="360"/>
      </w:pPr>
      <w:r>
        <w:t xml:space="preserve">    3.2  Feedback Loops</w:t>
      </w:r>
    </w:p>
    <w:p>
      <w:pPr>
        <w:spacing w:after="40"/>
        <w:ind w:left="360"/>
      </w:pPr>
      <w:r>
        <w:t xml:space="preserve">    3.3  Causal Loop Diagram</w:t>
      </w:r>
    </w:p>
    <w:p>
      <w:pPr>
        <w:spacing w:after="40"/>
        <w:ind w:left="360"/>
      </w:pPr>
      <w:r>
        <w:t xml:space="preserve">    3.4  Stock–Flow Equations</w:t>
      </w:r>
    </w:p>
    <w:p>
      <w:pPr>
        <w:spacing w:after="40"/>
        <w:ind w:left="360"/>
      </w:pPr>
      <w:r>
        <w:t xml:space="preserve">    3.5  Parameterisation</w:t>
      </w:r>
    </w:p>
    <w:p>
      <w:pPr>
        <w:spacing w:after="40"/>
        <w:ind w:left="0"/>
      </w:pPr>
      <w:r>
        <w:t>4.  Agent-Based Model (ABM) Layer</w:t>
      </w:r>
    </w:p>
    <w:p>
      <w:pPr>
        <w:spacing w:after="40"/>
        <w:ind w:left="360"/>
      </w:pPr>
      <w:r>
        <w:t xml:space="preserve">    4.1  Mineral Supplier Agent</w:t>
      </w:r>
    </w:p>
    <w:p>
      <w:pPr>
        <w:spacing w:after="40"/>
        <w:ind w:left="360"/>
      </w:pPr>
      <w:r>
        <w:t xml:space="preserve">    4.2  Cell Manufacturer Agent</w:t>
      </w:r>
    </w:p>
    <w:p>
      <w:pPr>
        <w:spacing w:after="40"/>
        <w:ind w:left="360"/>
      </w:pPr>
      <w:r>
        <w:t xml:space="preserve">    4.3  Tier-1 Supplier Agent</w:t>
      </w:r>
    </w:p>
    <w:p>
      <w:pPr>
        <w:spacing w:after="40"/>
        <w:ind w:left="360"/>
      </w:pPr>
      <w:r>
        <w:t xml:space="preserve">    4.4  OEM Agent</w:t>
      </w:r>
    </w:p>
    <w:p>
      <w:pPr>
        <w:spacing w:after="40"/>
        <w:ind w:left="360"/>
      </w:pPr>
      <w:r>
        <w:t xml:space="preserve">    4.5  Market Agent</w:t>
      </w:r>
    </w:p>
    <w:p>
      <w:pPr>
        <w:spacing w:after="40"/>
        <w:ind w:left="0"/>
      </w:pPr>
      <w:r>
        <w:t>5.  Hybrid Coupling: ABM ↔ SD</w:t>
      </w:r>
    </w:p>
    <w:p>
      <w:pPr>
        <w:spacing w:after="40"/>
        <w:ind w:left="0"/>
      </w:pPr>
      <w:r>
        <w:t>6.  Financial Calibration from Listed Companies</w:t>
      </w:r>
    </w:p>
    <w:p>
      <w:pPr>
        <w:spacing w:after="40"/>
        <w:ind w:left="0"/>
      </w:pPr>
      <w:r>
        <w:t>7.  Scenario Shocks</w:t>
      </w:r>
    </w:p>
    <w:p>
      <w:pPr>
        <w:spacing w:after="40"/>
        <w:ind w:left="0"/>
      </w:pPr>
      <w:r>
        <w:t>8.  Parameter Summary</w:t>
      </w:r>
    </w:p>
    <w:p>
      <w:pPr>
        <w:spacing w:after="40"/>
        <w:ind w:left="0"/>
      </w:pPr>
      <w:r>
        <w:t>9.  References</w:t>
      </w:r>
    </w:p>
    <w:p>
      <w:r>
        <w:br w:type="page"/>
      </w:r>
    </w:p>
    <w:p>
      <w:pPr>
        <w:pStyle w:val="Heading1"/>
        <w:jc w:val="left"/>
      </w:pPr>
      <w:r>
        <w:t>1.  Introduction and Model Purpose</w:t>
      </w:r>
    </w:p>
    <w:p>
      <w:r>
        <w:rPr>
          <w:b w:val="0"/>
          <w:i w:val="0"/>
        </w:rPr>
        <w:t>The global electric vehicle (EV) supply chain is characterised by high geographic concentration, complex multi-tier interdependencies, and deep vulnerability to commodity price volatility. This model provides a computational framework for simulating disruption propagation, price dynamics, and resilience across four supply-chain tiers — from raw material extraction through to final vehicle assembly.</w:t>
      </w:r>
    </w:p>
    <w:p>
      <w:r>
        <w:rPr>
          <w:b w:val="0"/>
          <w:i w:val="0"/>
        </w:rPr>
        <w:t>The model integrates two complementary paradigms:</w:t>
      </w:r>
    </w:p>
    <w:p>
      <w:pPr>
        <w:pStyle w:val="ListBullet"/>
        <w:ind w:left="360"/>
      </w:pPr>
      <w:r>
        <w:t>Agent-Based Modelling (ABM): captures heterogeneous firm behaviour, inventory management decisions, shock absorption capacity, and emergent supply-chain dynamics arising from decentralised agent interactions.</w:t>
      </w:r>
    </w:p>
    <w:p>
      <w:pPr>
        <w:pStyle w:val="ListBullet"/>
        <w:ind w:left="360"/>
      </w:pPr>
      <w:r>
        <w:t>System Dynamics (SD): provides aggregate stock-flow-feedback structure for commodity prices, chemistry mix, capacity investment cycles, and demand dynamics that operate at the industry level above individual firm decisions.</w:t>
      </w:r>
    </w:p>
    <w:p>
      <w:r>
        <w:rPr>
          <w:b w:val="0"/>
          <w:i w:val="0"/>
        </w:rPr>
        <w:t>The four-tier supply chain framework is calibrated using financial and operational data from 61 listed companies across all tiers, retrieved from Yahoo Finance. The simulation horizon is five years (260 weeks) at weekly time steps.</w:t>
      </w:r>
    </w:p>
    <w:p/>
    <w:p>
      <w:r>
        <w:rPr>
          <w:b/>
          <w:i w:val="0"/>
        </w:rPr>
        <w:t>Supply Chain Tiers Modelled: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864"/>
            <w:shd w:val="clear" w:color="auto" w:fill="D9E2F3"/>
          </w:tcPr>
          <w:p>
            <w:pPr>
              <w:jc w:val="center"/>
            </w:pPr>
            <w:r>
              <w:rPr>
                <w:b/>
              </w:rPr>
              <w:t>Tier</w:t>
            </w:r>
          </w:p>
        </w:tc>
        <w:tc>
          <w:tcPr>
            <w:tcW w:type="dxa" w:w="2592"/>
            <w:shd w:val="clear" w:color="auto" w:fill="D9E2F3"/>
          </w:tcPr>
          <w:p>
            <w:pPr>
              <w:jc w:val="center"/>
            </w:pPr>
            <w:r>
              <w:rPr>
                <w:b/>
              </w:rPr>
              <w:t>Label</w:t>
            </w:r>
          </w:p>
        </w:tc>
        <w:tc>
          <w:tcPr>
            <w:tcW w:type="dxa" w:w="3168"/>
            <w:shd w:val="clear" w:color="auto" w:fill="D9E2F3"/>
          </w:tcPr>
          <w:p>
            <w:pPr>
              <w:jc w:val="center"/>
            </w:pPr>
            <w:r>
              <w:rPr>
                <w:b/>
              </w:rPr>
              <w:t>Agents / Firms</w:t>
            </w:r>
          </w:p>
        </w:tc>
        <w:tc>
          <w:tcPr>
            <w:tcW w:type="dxa" w:w="3456"/>
            <w:shd w:val="clear" w:color="auto" w:fill="D9E2F3"/>
          </w:tcPr>
          <w:p>
            <w:pPr>
              <w:jc w:val="center"/>
            </w:pPr>
            <w:r>
              <w:rPr>
                <w:b/>
              </w:rPr>
              <w:t>Key Products</w:t>
            </w:r>
          </w:p>
        </w:tc>
      </w:tr>
      <w:tr>
        <w:tc>
          <w:tcPr>
            <w:tcW w:type="dxa" w:w="864"/>
          </w:tcPr>
          <w:p>
            <w:pPr>
              <w:jc w:val="left"/>
            </w:pPr>
            <w:r>
              <w:t>Tier 1</w:t>
            </w:r>
          </w:p>
        </w:tc>
        <w:tc>
          <w:tcPr>
            <w:tcW w:type="dxa" w:w="2592"/>
          </w:tcPr>
          <w:p>
            <w:pPr>
              <w:jc w:val="left"/>
            </w:pPr>
            <w:r>
              <w:t>Raw &amp; Processed Materials</w:t>
            </w:r>
          </w:p>
        </w:tc>
        <w:tc>
          <w:tcPr>
            <w:tcW w:type="dxa" w:w="3168"/>
          </w:tcPr>
          <w:p>
            <w:pPr>
              <w:jc w:val="left"/>
            </w:pPr>
            <w:r>
              <w:t>14 mineral supplier agents across 5 minerals</w:t>
            </w:r>
          </w:p>
        </w:tc>
        <w:tc>
          <w:tcPr>
            <w:tcW w:type="dxa" w:w="3456"/>
          </w:tcPr>
          <w:p>
            <w:pPr>
              <w:jc w:val="left"/>
            </w:pPr>
            <w:r>
              <w:t>Lithium, cobalt, graphite, rare earth elements, SiC wafers</w:t>
            </w:r>
          </w:p>
        </w:tc>
      </w:tr>
      <w:tr>
        <w:tc>
          <w:tcPr>
            <w:tcW w:type="dxa" w:w="864"/>
          </w:tcPr>
          <w:p>
            <w:pPr>
              <w:jc w:val="left"/>
            </w:pPr>
            <w:r>
              <w:t>Tier 2</w:t>
            </w:r>
          </w:p>
        </w:tc>
        <w:tc>
          <w:tcPr>
            <w:tcW w:type="dxa" w:w="2592"/>
          </w:tcPr>
          <w:p>
            <w:pPr>
              <w:jc w:val="left"/>
            </w:pPr>
            <w:r>
              <w:t>Core Components</w:t>
            </w:r>
          </w:p>
        </w:tc>
        <w:tc>
          <w:tcPr>
            <w:tcW w:type="dxa" w:w="3168"/>
          </w:tcPr>
          <w:p>
            <w:pPr>
              <w:jc w:val="left"/>
            </w:pPr>
            <w:r>
              <w:t>9 cell manufacturer agents</w:t>
            </w:r>
          </w:p>
        </w:tc>
        <w:tc>
          <w:tcPr>
            <w:tcW w:type="dxa" w:w="3456"/>
          </w:tcPr>
          <w:p>
            <w:pPr>
              <w:jc w:val="left"/>
            </w:pPr>
            <w:r>
              <w:t>LFP and NMC/NCA battery cells (GWh)</w:t>
            </w:r>
          </w:p>
        </w:tc>
      </w:tr>
      <w:tr>
        <w:tc>
          <w:tcPr>
            <w:tcW w:type="dxa" w:w="864"/>
          </w:tcPr>
          <w:p>
            <w:pPr>
              <w:jc w:val="left"/>
            </w:pPr>
            <w:r>
              <w:t>Tier 3</w:t>
            </w:r>
          </w:p>
        </w:tc>
        <w:tc>
          <w:tcPr>
            <w:tcW w:type="dxa" w:w="2592"/>
          </w:tcPr>
          <w:p>
            <w:pPr>
              <w:jc w:val="left"/>
            </w:pPr>
            <w:r>
              <w:t>Subsystems / Tier-1 Integration</w:t>
            </w:r>
          </w:p>
        </w:tc>
        <w:tc>
          <w:tcPr>
            <w:tcW w:type="dxa" w:w="3168"/>
          </w:tcPr>
          <w:p>
            <w:pPr>
              <w:jc w:val="left"/>
            </w:pPr>
            <w:r>
              <w:t>4 subsystem supplier agents</w:t>
            </w:r>
          </w:p>
        </w:tc>
        <w:tc>
          <w:tcPr>
            <w:tcW w:type="dxa" w:w="3456"/>
          </w:tcPr>
          <w:p>
            <w:pPr>
              <w:jc w:val="left"/>
            </w:pPr>
            <w:r>
              <w:t>Battery packs, inverters, motors, wiring harnesses</w:t>
            </w:r>
          </w:p>
        </w:tc>
      </w:tr>
      <w:tr>
        <w:tc>
          <w:tcPr>
            <w:tcW w:type="dxa" w:w="864"/>
          </w:tcPr>
          <w:p>
            <w:pPr>
              <w:jc w:val="left"/>
            </w:pPr>
            <w:r>
              <w:t>Tier 4</w:t>
            </w:r>
          </w:p>
        </w:tc>
        <w:tc>
          <w:tcPr>
            <w:tcW w:type="dxa" w:w="2592"/>
          </w:tcPr>
          <w:p>
            <w:pPr>
              <w:jc w:val="left"/>
            </w:pPr>
            <w:r>
              <w:t>OEM Assembly &amp; Vehicle Integration</w:t>
            </w:r>
          </w:p>
        </w:tc>
        <w:tc>
          <w:tcPr>
            <w:tcW w:type="dxa" w:w="3168"/>
          </w:tcPr>
          <w:p>
            <w:pPr>
              <w:jc w:val="left"/>
            </w:pPr>
            <w:r>
              <w:t>7 OEM agents (by region)</w:t>
            </w:r>
          </w:p>
        </w:tc>
        <w:tc>
          <w:tcPr>
            <w:tcW w:type="dxa" w:w="3456"/>
          </w:tcPr>
          <w:p>
            <w:pPr>
              <w:jc w:val="left"/>
            </w:pPr>
            <w:r>
              <w:t>Assembled electric vehicles (k units/week)</w:t>
            </w:r>
          </w:p>
        </w:tc>
      </w:tr>
    </w:tbl>
    <w:p>
      <w:r>
        <w:br w:type="page"/>
      </w:r>
    </w:p>
    <w:p>
      <w:pPr>
        <w:pStyle w:val="Heading1"/>
        <w:jc w:val="left"/>
      </w:pPr>
      <w:r>
        <w:t>2.  ODD Protocol</w:t>
      </w:r>
    </w:p>
    <w:p>
      <w:r>
        <w:rPr>
          <w:b w:val="0"/>
          <w:i w:val="0"/>
        </w:rPr>
        <w:t>The ODD (Overview, Design concepts, Details) protocol (Grimm et al., 2006; 2010; 2020) is the standard framework for describing agent-based models. Each section below follows the ODD format to ensure the model is fully reproducible and transparent.</w:t>
      </w:r>
    </w:p>
    <w:p>
      <w:pPr>
        <w:pStyle w:val="Heading2"/>
        <w:jc w:val="left"/>
      </w:pPr>
      <w:r>
        <w:t>2.1  Overview</w:t>
      </w:r>
    </w:p>
    <w:p>
      <w:pPr>
        <w:pStyle w:val="Heading3"/>
        <w:jc w:val="left"/>
      </w:pPr>
      <w:r>
        <w:t>2.1.1  Purpose</w:t>
      </w:r>
    </w:p>
    <w:p>
      <w:r>
        <w:rPr>
          <w:b w:val="0"/>
          <w:i w:val="0"/>
        </w:rPr>
        <w:t>The model is designed to answer three research questions:</w:t>
      </w:r>
    </w:p>
    <w:p>
      <w:pPr>
        <w:pStyle w:val="ListNumber"/>
        <w:ind w:left="360"/>
      </w:pPr>
      <w:r>
        <w:t>How do supply shocks at Tier 1 (e.g., DRC cobalt disruption, China REE export restriction) propagate through the supply chain to affect OEM vehicle production?</w:t>
      </w:r>
    </w:p>
    <w:p>
      <w:pPr>
        <w:pStyle w:val="ListNumber"/>
        <w:ind w:left="360"/>
      </w:pPr>
      <w:r>
        <w:t>How do endogenous feedback mechanisms — commodity price formation, chemistry substitution, and capacity investment — moderate or amplify disruption impacts over a 5-year horizon?</w:t>
      </w:r>
    </w:p>
    <w:p>
      <w:pPr>
        <w:pStyle w:val="ListNumber"/>
        <w:ind w:left="360"/>
      </w:pPr>
      <w:r>
        <w:t>How do firm-level financial characteristics (balance sheet resilience, inventory policies, recovery capacity) determine heterogeneous responses to the same shock?</w:t>
      </w:r>
    </w:p>
    <w:p>
      <w:pPr>
        <w:pStyle w:val="Heading3"/>
        <w:jc w:val="left"/>
      </w:pPr>
      <w:r>
        <w:t>2.1.2  Entities, State Variables, and Scales</w:t>
      </w:r>
    </w:p>
    <w:p>
      <w:r>
        <w:rPr>
          <w:b/>
          <w:i w:val="0"/>
        </w:rPr>
        <w:t>Agents: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304"/>
            <w:shd w:val="clear" w:color="auto" w:fill="D9E2F3"/>
          </w:tcPr>
          <w:p>
            <w:pPr>
              <w:jc w:val="center"/>
            </w:pPr>
            <w:r>
              <w:rPr>
                <w:b/>
              </w:rPr>
              <w:t>Agent Type</w:t>
            </w:r>
          </w:p>
        </w:tc>
        <w:tc>
          <w:tcPr>
            <w:tcW w:type="dxa" w:w="864"/>
            <w:shd w:val="clear" w:color="auto" w:fill="D9E2F3"/>
          </w:tcPr>
          <w:p>
            <w:pPr>
              <w:jc w:val="center"/>
            </w:pPr>
            <w:r>
              <w:rPr>
                <w:b/>
              </w:rPr>
              <w:t>Count</w:t>
            </w:r>
          </w:p>
        </w:tc>
        <w:tc>
          <w:tcPr>
            <w:tcW w:type="dxa" w:w="4608"/>
            <w:shd w:val="clear" w:color="auto" w:fill="D9E2F3"/>
          </w:tcPr>
          <w:p>
            <w:pPr>
              <w:jc w:val="center"/>
            </w:pPr>
            <w:r>
              <w:rPr>
                <w:b/>
              </w:rPr>
              <w:t>Key State Variables</w:t>
            </w:r>
          </w:p>
        </w:tc>
        <w:tc>
          <w:tcPr>
            <w:tcW w:type="dxa" w:w="1296"/>
            <w:shd w:val="clear" w:color="auto" w:fill="D9E2F3"/>
          </w:tcPr>
          <w:p>
            <w:pPr>
              <w:jc w:val="center"/>
            </w:pPr>
            <w:r>
              <w:rPr>
                <w:b/>
              </w:rPr>
              <w:t>Tier</w:t>
            </w:r>
          </w:p>
        </w:tc>
      </w:tr>
      <w:tr>
        <w:tc>
          <w:tcPr>
            <w:tcW w:type="dxa" w:w="2304"/>
          </w:tcPr>
          <w:p>
            <w:pPr>
              <w:jc w:val="left"/>
            </w:pPr>
            <w:r>
              <w:t>MineralSupplierAgent</w:t>
            </w:r>
          </w:p>
        </w:tc>
        <w:tc>
          <w:tcPr>
            <w:tcW w:type="dxa" w:w="864"/>
          </w:tcPr>
          <w:p>
            <w:pPr>
              <w:jc w:val="left"/>
            </w:pPr>
            <w:r>
              <w:t>14</w:t>
            </w:r>
          </w:p>
        </w:tc>
        <w:tc>
          <w:tcPr>
            <w:tcW w:type="dxa" w:w="4608"/>
          </w:tcPr>
          <w:p>
            <w:pPr>
              <w:jc w:val="left"/>
            </w:pPr>
            <w:r>
              <w:t>output_fraction, shock_multiplier, mineral, country, global_share</w:t>
            </w:r>
          </w:p>
        </w:tc>
        <w:tc>
          <w:tcPr>
            <w:tcW w:type="dxa" w:w="1296"/>
          </w:tcPr>
          <w:p>
            <w:pPr>
              <w:jc w:val="left"/>
            </w:pPr>
            <w:r>
              <w:t>Tier 1</w:t>
            </w:r>
          </w:p>
        </w:tc>
      </w:tr>
      <w:tr>
        <w:tc>
          <w:tcPr>
            <w:tcW w:type="dxa" w:w="2304"/>
          </w:tcPr>
          <w:p>
            <w:pPr>
              <w:jc w:val="left"/>
            </w:pPr>
            <w:r>
              <w:t>CellManufacturerAgent</w:t>
            </w:r>
          </w:p>
        </w:tc>
        <w:tc>
          <w:tcPr>
            <w:tcW w:type="dxa" w:w="864"/>
          </w:tcPr>
          <w:p>
            <w:pPr>
              <w:jc w:val="left"/>
            </w:pPr>
            <w:r>
              <w:t>9</w:t>
            </w:r>
          </w:p>
        </w:tc>
        <w:tc>
          <w:tcPr>
            <w:tcW w:type="dxa" w:w="4608"/>
          </w:tcPr>
          <w:p>
            <w:pPr>
              <w:jc w:val="left"/>
            </w:pPr>
            <w:r>
              <w:t>weekly_capacity (GWh/wk), inventory_gwh, output_gwh, lfp_fraction, nmc_fraction</w:t>
            </w:r>
          </w:p>
        </w:tc>
        <w:tc>
          <w:tcPr>
            <w:tcW w:type="dxa" w:w="1296"/>
          </w:tcPr>
          <w:p>
            <w:pPr>
              <w:jc w:val="left"/>
            </w:pPr>
            <w:r>
              <w:t>Tier 2</w:t>
            </w:r>
          </w:p>
        </w:tc>
      </w:tr>
      <w:tr>
        <w:tc>
          <w:tcPr>
            <w:tcW w:type="dxa" w:w="2304"/>
          </w:tcPr>
          <w:p>
            <w:pPr>
              <w:jc w:val="left"/>
            </w:pPr>
            <w:r>
              <w:t>Tier1SupplierAgent</w:t>
            </w:r>
          </w:p>
        </w:tc>
        <w:tc>
          <w:tcPr>
            <w:tcW w:type="dxa" w:w="864"/>
          </w:tcPr>
          <w:p>
            <w:pPr>
              <w:jc w:val="left"/>
            </w:pPr>
            <w:r>
              <w:t>4</w:t>
            </w:r>
          </w:p>
        </w:tc>
        <w:tc>
          <w:tcPr>
            <w:tcW w:type="dxa" w:w="4608"/>
          </w:tcPr>
          <w:p>
            <w:pPr>
              <w:jc w:val="left"/>
            </w:pPr>
            <w:r>
              <w:t>inventory (k veh-equiv), pipeline (order queue), output_k, dual_source_active</w:t>
            </w:r>
          </w:p>
        </w:tc>
        <w:tc>
          <w:tcPr>
            <w:tcW w:type="dxa" w:w="1296"/>
          </w:tcPr>
          <w:p>
            <w:pPr>
              <w:jc w:val="left"/>
            </w:pPr>
            <w:r>
              <w:t>Tier 3</w:t>
            </w:r>
          </w:p>
        </w:tc>
      </w:tr>
      <w:tr>
        <w:tc>
          <w:tcPr>
            <w:tcW w:type="dxa" w:w="2304"/>
          </w:tcPr>
          <w:p>
            <w:pPr>
              <w:jc w:val="left"/>
            </w:pPr>
            <w:r>
              <w:t>OEMAgent</w:t>
            </w:r>
          </w:p>
        </w:tc>
        <w:tc>
          <w:tcPr>
            <w:tcW w:type="dxa" w:w="864"/>
          </w:tcPr>
          <w:p>
            <w:pPr>
              <w:jc w:val="left"/>
            </w:pPr>
            <w:r>
              <w:t>7</w:t>
            </w:r>
          </w:p>
        </w:tc>
        <w:tc>
          <w:tcPr>
            <w:tcW w:type="dxa" w:w="4608"/>
          </w:tcPr>
          <w:p>
            <w:pPr>
              <w:jc w:val="left"/>
            </w:pPr>
            <w:r>
              <w:t>inv{packs, inverters, motors, harness}, production_k, backlog_k, halt_weeks</w:t>
            </w:r>
          </w:p>
        </w:tc>
        <w:tc>
          <w:tcPr>
            <w:tcW w:type="dxa" w:w="1296"/>
          </w:tcPr>
          <w:p>
            <w:pPr>
              <w:jc w:val="left"/>
            </w:pPr>
            <w:r>
              <w:t>Tier 4</w:t>
            </w:r>
          </w:p>
        </w:tc>
      </w:tr>
      <w:tr>
        <w:tc>
          <w:tcPr>
            <w:tcW w:type="dxa" w:w="2304"/>
          </w:tcPr>
          <w:p>
            <w:pPr>
              <w:jc w:val="left"/>
            </w:pPr>
            <w:r>
              <w:t>MarketAgent</w:t>
            </w:r>
          </w:p>
        </w:tc>
        <w:tc>
          <w:tcPr>
            <w:tcW w:type="dxa" w:w="864"/>
          </w:tcPr>
          <w:p>
            <w:pPr>
              <w:jc w:val="left"/>
            </w:pPr>
            <w:r>
              <w:t>6</w:t>
            </w:r>
          </w:p>
        </w:tc>
        <w:tc>
          <w:tcPr>
            <w:tcW w:type="dxa" w:w="4608"/>
          </w:tcPr>
          <w:p>
            <w:pPr>
              <w:jc w:val="left"/>
            </w:pPr>
            <w:r>
              <w:t>weekly_demand_gwh, _trend_demand_gwh, yoy_growth, price_elasticity</w:t>
            </w:r>
          </w:p>
        </w:tc>
        <w:tc>
          <w:tcPr>
            <w:tcW w:type="dxa" w:w="1296"/>
          </w:tcPr>
          <w:p>
            <w:pPr>
              <w:jc w:val="left"/>
            </w:pPr>
            <w:r>
              <w:t>Demand</w:t>
            </w:r>
          </w:p>
        </w:tc>
      </w:tr>
    </w:tbl>
    <w:p/>
    <w:p>
      <w:r>
        <w:rPr>
          <w:b/>
          <w:i w:val="0"/>
        </w:rPr>
        <w:t>SD Model State Variables (stocks):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304"/>
            <w:shd w:val="clear" w:color="auto" w:fill="D9E2F3"/>
          </w:tcPr>
          <w:p>
            <w:pPr>
              <w:jc w:val="center"/>
            </w:pPr>
            <w:r>
              <w:rPr>
                <w:b/>
              </w:rPr>
              <w:t>Variable</w:t>
            </w:r>
          </w:p>
        </w:tc>
        <w:tc>
          <w:tcPr>
            <w:tcW w:type="dxa" w:w="2016"/>
            <w:shd w:val="clear" w:color="auto" w:fill="D9E2F3"/>
          </w:tcPr>
          <w:p>
            <w:pPr>
              <w:jc w:val="center"/>
            </w:pPr>
            <w:r>
              <w:rPr>
                <w:b/>
              </w:rPr>
              <w:t>Unit</w:t>
            </w:r>
          </w:p>
        </w:tc>
        <w:tc>
          <w:tcPr>
            <w:tcW w:type="dxa" w:w="1584"/>
            <w:shd w:val="clear" w:color="auto" w:fill="D9E2F3"/>
          </w:tcPr>
          <w:p>
            <w:pPr>
              <w:jc w:val="center"/>
            </w:pPr>
            <w:r>
              <w:rPr>
                <w:b/>
              </w:rPr>
              <w:t>Initial Value</w:t>
            </w:r>
          </w:p>
        </w:tc>
        <w:tc>
          <w:tcPr>
            <w:tcW w:type="dxa" w:w="4176"/>
            <w:shd w:val="clear" w:color="auto" w:fill="D9E2F3"/>
          </w:tcPr>
          <w:p>
            <w:pPr>
              <w:jc w:val="center"/>
            </w:pPr>
            <w:r>
              <w:rPr>
                <w:b/>
              </w:rPr>
              <w:t>Description</w:t>
            </w:r>
          </w:p>
        </w:tc>
      </w:tr>
      <w:tr>
        <w:tc>
          <w:tcPr>
            <w:tcW w:type="dxa" w:w="2304"/>
          </w:tcPr>
          <w:p>
            <w:pPr>
              <w:jc w:val="left"/>
            </w:pPr>
            <w:r>
              <w:t>stocks[lithium]</w:t>
            </w:r>
          </w:p>
        </w:tc>
        <w:tc>
          <w:tcPr>
            <w:tcW w:type="dxa" w:w="2016"/>
          </w:tcPr>
          <w:p>
            <w:pPr>
              <w:jc w:val="left"/>
            </w:pPr>
            <w:r>
              <w:t>wks consumption</w:t>
            </w:r>
          </w:p>
        </w:tc>
        <w:tc>
          <w:tcPr>
            <w:tcW w:type="dxa" w:w="1584"/>
          </w:tcPr>
          <w:p>
            <w:pPr>
              <w:jc w:val="left"/>
            </w:pPr>
            <w:r>
              <w:t>4.0</w:t>
            </w:r>
          </w:p>
        </w:tc>
        <w:tc>
          <w:tcPr>
            <w:tcW w:type="dxa" w:w="4176"/>
          </w:tcPr>
          <w:p>
            <w:pPr>
              <w:jc w:val="left"/>
            </w:pPr>
            <w:r>
              <w:t>Lithium inventory in weeks of EV-industry consumption</w:t>
            </w:r>
          </w:p>
        </w:tc>
      </w:tr>
      <w:tr>
        <w:tc>
          <w:tcPr>
            <w:tcW w:type="dxa" w:w="2304"/>
          </w:tcPr>
          <w:p>
            <w:pPr>
              <w:jc w:val="left"/>
            </w:pPr>
            <w:r>
              <w:t>stocks[cobalt]</w:t>
            </w:r>
          </w:p>
        </w:tc>
        <w:tc>
          <w:tcPr>
            <w:tcW w:type="dxa" w:w="2016"/>
          </w:tcPr>
          <w:p>
            <w:pPr>
              <w:jc w:val="left"/>
            </w:pPr>
            <w:r>
              <w:t>wks consumption</w:t>
            </w:r>
          </w:p>
        </w:tc>
        <w:tc>
          <w:tcPr>
            <w:tcW w:type="dxa" w:w="1584"/>
          </w:tcPr>
          <w:p>
            <w:pPr>
              <w:jc w:val="left"/>
            </w:pPr>
            <w:r>
              <w:t>6.0</w:t>
            </w:r>
          </w:p>
        </w:tc>
        <w:tc>
          <w:tcPr>
            <w:tcW w:type="dxa" w:w="4176"/>
          </w:tcPr>
          <w:p>
            <w:pPr>
              <w:jc w:val="left"/>
            </w:pPr>
            <w:r>
              <w:t>Cobalt inventory</w:t>
            </w:r>
          </w:p>
        </w:tc>
      </w:tr>
      <w:tr>
        <w:tc>
          <w:tcPr>
            <w:tcW w:type="dxa" w:w="2304"/>
          </w:tcPr>
          <w:p>
            <w:pPr>
              <w:jc w:val="left"/>
            </w:pPr>
            <w:r>
              <w:t>stocks[graphite]</w:t>
            </w:r>
          </w:p>
        </w:tc>
        <w:tc>
          <w:tcPr>
            <w:tcW w:type="dxa" w:w="2016"/>
          </w:tcPr>
          <w:p>
            <w:pPr>
              <w:jc w:val="left"/>
            </w:pPr>
            <w:r>
              <w:t>wks consumption</w:t>
            </w:r>
          </w:p>
        </w:tc>
        <w:tc>
          <w:tcPr>
            <w:tcW w:type="dxa" w:w="1584"/>
          </w:tcPr>
          <w:p>
            <w:pPr>
              <w:jc w:val="left"/>
            </w:pPr>
            <w:r>
              <w:t>4.0</w:t>
            </w:r>
          </w:p>
        </w:tc>
        <w:tc>
          <w:tcPr>
            <w:tcW w:type="dxa" w:w="4176"/>
          </w:tcPr>
          <w:p>
            <w:pPr>
              <w:jc w:val="left"/>
            </w:pPr>
            <w:r>
              <w:t>Graphite anode inventory</w:t>
            </w:r>
          </w:p>
        </w:tc>
      </w:tr>
      <w:tr>
        <w:tc>
          <w:tcPr>
            <w:tcW w:type="dxa" w:w="2304"/>
          </w:tcPr>
          <w:p>
            <w:pPr>
              <w:jc w:val="left"/>
            </w:pPr>
            <w:r>
              <w:t>stocks[ree]</w:t>
            </w:r>
          </w:p>
        </w:tc>
        <w:tc>
          <w:tcPr>
            <w:tcW w:type="dxa" w:w="2016"/>
          </w:tcPr>
          <w:p>
            <w:pPr>
              <w:jc w:val="left"/>
            </w:pPr>
            <w:r>
              <w:t>wks consumption</w:t>
            </w:r>
          </w:p>
        </w:tc>
        <w:tc>
          <w:tcPr>
            <w:tcW w:type="dxa" w:w="1584"/>
          </w:tcPr>
          <w:p>
            <w:pPr>
              <w:jc w:val="left"/>
            </w:pPr>
            <w:r>
              <w:t>8.0</w:t>
            </w:r>
          </w:p>
        </w:tc>
        <w:tc>
          <w:tcPr>
            <w:tcW w:type="dxa" w:w="4176"/>
          </w:tcPr>
          <w:p>
            <w:pPr>
              <w:jc w:val="left"/>
            </w:pPr>
            <w:r>
              <w:t>Rare earth element inventory</w:t>
            </w:r>
          </w:p>
        </w:tc>
      </w:tr>
      <w:tr>
        <w:tc>
          <w:tcPr>
            <w:tcW w:type="dxa" w:w="2304"/>
          </w:tcPr>
          <w:p>
            <w:pPr>
              <w:jc w:val="left"/>
            </w:pPr>
            <w:r>
              <w:t>stocks[sic_wafer]</w:t>
            </w:r>
          </w:p>
        </w:tc>
        <w:tc>
          <w:tcPr>
            <w:tcW w:type="dxa" w:w="2016"/>
          </w:tcPr>
          <w:p>
            <w:pPr>
              <w:jc w:val="left"/>
            </w:pPr>
            <w:r>
              <w:t>wks consumption</w:t>
            </w:r>
          </w:p>
        </w:tc>
        <w:tc>
          <w:tcPr>
            <w:tcW w:type="dxa" w:w="1584"/>
          </w:tcPr>
          <w:p>
            <w:pPr>
              <w:jc w:val="left"/>
            </w:pPr>
            <w:r>
              <w:t>12.0</w:t>
            </w:r>
          </w:p>
        </w:tc>
        <w:tc>
          <w:tcPr>
            <w:tcW w:type="dxa" w:w="4176"/>
          </w:tcPr>
          <w:p>
            <w:pPr>
              <w:jc w:val="left"/>
            </w:pPr>
            <w:r>
              <w:t>Silicon carbide wafer inventory</w:t>
            </w:r>
          </w:p>
        </w:tc>
      </w:tr>
      <w:tr>
        <w:tc>
          <w:tcPr>
            <w:tcW w:type="dxa" w:w="2304"/>
          </w:tcPr>
          <w:p>
            <w:pPr>
              <w:jc w:val="left"/>
            </w:pPr>
            <w:r>
              <w:t>stocks[cells]</w:t>
            </w:r>
          </w:p>
        </w:tc>
        <w:tc>
          <w:tcPr>
            <w:tcW w:type="dxa" w:w="2016"/>
          </w:tcPr>
          <w:p>
            <w:pPr>
              <w:jc w:val="left"/>
            </w:pPr>
            <w:r>
              <w:t>GWh</w:t>
            </w:r>
          </w:p>
        </w:tc>
        <w:tc>
          <w:tcPr>
            <w:tcW w:type="dxa" w:w="1584"/>
          </w:tcPr>
          <w:p>
            <w:pPr>
              <w:jc w:val="left"/>
            </w:pPr>
            <w:r>
              <w:t>63.2</w:t>
            </w:r>
          </w:p>
        </w:tc>
        <w:tc>
          <w:tcPr>
            <w:tcW w:type="dxa" w:w="4176"/>
          </w:tcPr>
          <w:p>
            <w:pPr>
              <w:jc w:val="left"/>
            </w:pPr>
            <w:r>
              <w:t>Aggregate cell inventory (4 wks × 15.81 GWh/wk)</w:t>
            </w:r>
          </w:p>
        </w:tc>
      </w:tr>
      <w:tr>
        <w:tc>
          <w:tcPr>
            <w:tcW w:type="dxa" w:w="2304"/>
          </w:tcPr>
          <w:p>
            <w:pPr>
              <w:jc w:val="left"/>
            </w:pPr>
            <w:r>
              <w:t>stocks[packs]</w:t>
            </w:r>
          </w:p>
        </w:tc>
        <w:tc>
          <w:tcPr>
            <w:tcW w:type="dxa" w:w="2016"/>
          </w:tcPr>
          <w:p>
            <w:pPr>
              <w:jc w:val="left"/>
            </w:pPr>
            <w:r>
              <w:t>k veh-equiv</w:t>
            </w:r>
          </w:p>
        </w:tc>
        <w:tc>
          <w:tcPr>
            <w:tcW w:type="dxa" w:w="1584"/>
          </w:tcPr>
          <w:p>
            <w:pPr>
              <w:jc w:val="left"/>
            </w:pPr>
            <w:r>
              <w:t>807.7</w:t>
            </w:r>
          </w:p>
        </w:tc>
        <w:tc>
          <w:tcPr>
            <w:tcW w:type="dxa" w:w="4176"/>
          </w:tcPr>
          <w:p>
            <w:pPr>
              <w:jc w:val="left"/>
            </w:pPr>
            <w:r>
              <w:t>Battery pack inventory</w:t>
            </w:r>
          </w:p>
        </w:tc>
      </w:tr>
      <w:tr>
        <w:tc>
          <w:tcPr>
            <w:tcW w:type="dxa" w:w="2304"/>
          </w:tcPr>
          <w:p>
            <w:pPr>
              <w:jc w:val="left"/>
            </w:pPr>
            <w:r>
              <w:t>stocks[inverters]</w:t>
            </w:r>
          </w:p>
        </w:tc>
        <w:tc>
          <w:tcPr>
            <w:tcW w:type="dxa" w:w="2016"/>
          </w:tcPr>
          <w:p>
            <w:pPr>
              <w:jc w:val="left"/>
            </w:pPr>
            <w:r>
              <w:t>k veh-equiv</w:t>
            </w:r>
          </w:p>
        </w:tc>
        <w:tc>
          <w:tcPr>
            <w:tcW w:type="dxa" w:w="1584"/>
          </w:tcPr>
          <w:p>
            <w:pPr>
              <w:jc w:val="left"/>
            </w:pPr>
            <w:r>
              <w:t>2154</w:t>
            </w:r>
          </w:p>
        </w:tc>
        <w:tc>
          <w:tcPr>
            <w:tcW w:type="dxa" w:w="4176"/>
          </w:tcPr>
          <w:p>
            <w:pPr>
              <w:jc w:val="left"/>
            </w:pPr>
            <w:r>
              <w:t>Inverter inventory</w:t>
            </w:r>
          </w:p>
        </w:tc>
      </w:tr>
      <w:tr>
        <w:tc>
          <w:tcPr>
            <w:tcW w:type="dxa" w:w="2304"/>
          </w:tcPr>
          <w:p>
            <w:pPr>
              <w:jc w:val="left"/>
            </w:pPr>
            <w:r>
              <w:t>stocks[motors]</w:t>
            </w:r>
          </w:p>
        </w:tc>
        <w:tc>
          <w:tcPr>
            <w:tcW w:type="dxa" w:w="2016"/>
          </w:tcPr>
          <w:p>
            <w:pPr>
              <w:jc w:val="left"/>
            </w:pPr>
            <w:r>
              <w:t>k veh-equiv</w:t>
            </w:r>
          </w:p>
        </w:tc>
        <w:tc>
          <w:tcPr>
            <w:tcW w:type="dxa" w:w="1584"/>
          </w:tcPr>
          <w:p>
            <w:pPr>
              <w:jc w:val="left"/>
            </w:pPr>
            <w:r>
              <w:t>1615</w:t>
            </w:r>
          </w:p>
        </w:tc>
        <w:tc>
          <w:tcPr>
            <w:tcW w:type="dxa" w:w="4176"/>
          </w:tcPr>
          <w:p>
            <w:pPr>
              <w:jc w:val="left"/>
            </w:pPr>
            <w:r>
              <w:t>Motor inventory</w:t>
            </w:r>
          </w:p>
        </w:tc>
      </w:tr>
      <w:tr>
        <w:tc>
          <w:tcPr>
            <w:tcW w:type="dxa" w:w="2304"/>
          </w:tcPr>
          <w:p>
            <w:pPr>
              <w:jc w:val="left"/>
            </w:pPr>
            <w:r>
              <w:t>stocks[harness]</w:t>
            </w:r>
          </w:p>
        </w:tc>
        <w:tc>
          <w:tcPr>
            <w:tcW w:type="dxa" w:w="2016"/>
          </w:tcPr>
          <w:p>
            <w:pPr>
              <w:jc w:val="left"/>
            </w:pPr>
            <w:r>
              <w:t>k veh-equiv</w:t>
            </w:r>
          </w:p>
        </w:tc>
        <w:tc>
          <w:tcPr>
            <w:tcW w:type="dxa" w:w="1584"/>
          </w:tcPr>
          <w:p>
            <w:pPr>
              <w:jc w:val="left"/>
            </w:pPr>
            <w:r>
              <w:t>538.5</w:t>
            </w:r>
          </w:p>
        </w:tc>
        <w:tc>
          <w:tcPr>
            <w:tcW w:type="dxa" w:w="4176"/>
          </w:tcPr>
          <w:p>
            <w:pPr>
              <w:jc w:val="left"/>
            </w:pPr>
            <w:r>
              <w:t>Wiring harness inventory (JIT)</w:t>
            </w:r>
          </w:p>
        </w:tc>
      </w:tr>
      <w:tr>
        <w:tc>
          <w:tcPr>
            <w:tcW w:type="dxa" w:w="2304"/>
          </w:tcPr>
          <w:p>
            <w:pPr>
              <w:jc w:val="left"/>
            </w:pPr>
            <w:r>
              <w:t>prices[mineral]</w:t>
            </w:r>
          </w:p>
        </w:tc>
        <w:tc>
          <w:tcPr>
            <w:tcW w:type="dxa" w:w="2016"/>
          </w:tcPr>
          <w:p>
            <w:pPr>
              <w:jc w:val="left"/>
            </w:pPr>
            <w:r>
              <w:t>index (1.0=2023)</w:t>
            </w:r>
          </w:p>
        </w:tc>
        <w:tc>
          <w:tcPr>
            <w:tcW w:type="dxa" w:w="1584"/>
          </w:tcPr>
          <w:p>
            <w:pPr>
              <w:jc w:val="left"/>
            </w:pPr>
            <w:r>
              <w:t>1.0</w:t>
            </w:r>
          </w:p>
        </w:tc>
        <w:tc>
          <w:tcPr>
            <w:tcW w:type="dxa" w:w="4176"/>
          </w:tcPr>
          <w:p>
            <w:pPr>
              <w:jc w:val="left"/>
            </w:pPr>
            <w:r>
              <w:t>Commodity price index per mineral</w:t>
            </w:r>
          </w:p>
        </w:tc>
      </w:tr>
      <w:tr>
        <w:tc>
          <w:tcPr>
            <w:tcW w:type="dxa" w:w="2304"/>
          </w:tcPr>
          <w:p>
            <w:pPr>
              <w:jc w:val="left"/>
            </w:pPr>
            <w:r>
              <w:t>cell_capacity</w:t>
            </w:r>
          </w:p>
        </w:tc>
        <w:tc>
          <w:tcPr>
            <w:tcW w:type="dxa" w:w="2016"/>
          </w:tcPr>
          <w:p>
            <w:pPr>
              <w:jc w:val="left"/>
            </w:pPr>
            <w:r>
              <w:t>GWh/yr</w:t>
            </w:r>
          </w:p>
        </w:tc>
        <w:tc>
          <w:tcPr>
            <w:tcW w:type="dxa" w:w="1584"/>
          </w:tcPr>
          <w:p>
            <w:pPr>
              <w:jc w:val="left"/>
            </w:pPr>
            <w:r>
              <w:t>1500</w:t>
            </w:r>
          </w:p>
        </w:tc>
        <w:tc>
          <w:tcPr>
            <w:tcW w:type="dxa" w:w="4176"/>
          </w:tcPr>
          <w:p>
            <w:pPr>
              <w:jc w:val="left"/>
            </w:pPr>
            <w:r>
              <w:t>Global cell nameplate capacity</w:t>
            </w:r>
          </w:p>
        </w:tc>
      </w:tr>
      <w:tr>
        <w:tc>
          <w:tcPr>
            <w:tcW w:type="dxa" w:w="2304"/>
          </w:tcPr>
          <w:p>
            <w:pPr>
              <w:jc w:val="left"/>
            </w:pPr>
            <w:r>
              <w:t>cell_capacity_wip</w:t>
            </w:r>
          </w:p>
        </w:tc>
        <w:tc>
          <w:tcPr>
            <w:tcW w:type="dxa" w:w="2016"/>
          </w:tcPr>
          <w:p>
            <w:pPr>
              <w:jc w:val="left"/>
            </w:pPr>
            <w:r>
              <w:t>GWh/yr</w:t>
            </w:r>
          </w:p>
        </w:tc>
        <w:tc>
          <w:tcPr>
            <w:tcW w:type="dxa" w:w="1584"/>
          </w:tcPr>
          <w:p>
            <w:pPr>
              <w:jc w:val="left"/>
            </w:pPr>
            <w:r>
              <w:t>0.0</w:t>
            </w:r>
          </w:p>
        </w:tc>
        <w:tc>
          <w:tcPr>
            <w:tcW w:type="dxa" w:w="4176"/>
          </w:tcPr>
          <w:p>
            <w:pPr>
              <w:jc w:val="left"/>
            </w:pPr>
            <w:r>
              <w:t>Capacity under construction</w:t>
            </w:r>
          </w:p>
        </w:tc>
      </w:tr>
      <w:tr>
        <w:tc>
          <w:tcPr>
            <w:tcW w:type="dxa" w:w="2304"/>
          </w:tcPr>
          <w:p>
            <w:pPr>
              <w:jc w:val="left"/>
            </w:pPr>
            <w:r>
              <w:t>lfp_share</w:t>
            </w:r>
          </w:p>
        </w:tc>
        <w:tc>
          <w:tcPr>
            <w:tcW w:type="dxa" w:w="2016"/>
          </w:tcPr>
          <w:p>
            <w:pPr>
              <w:jc w:val="left"/>
            </w:pPr>
            <w:r>
              <w:t>fraction [0,1]</w:t>
            </w:r>
          </w:p>
        </w:tc>
        <w:tc>
          <w:tcPr>
            <w:tcW w:type="dxa" w:w="1584"/>
          </w:tcPr>
          <w:p>
            <w:pPr>
              <w:jc w:val="left"/>
            </w:pPr>
            <w:r>
              <w:t>0.403</w:t>
            </w:r>
          </w:p>
        </w:tc>
        <w:tc>
          <w:tcPr>
            <w:tcW w:type="dxa" w:w="4176"/>
          </w:tcPr>
          <w:p>
            <w:pPr>
              <w:jc w:val="left"/>
            </w:pPr>
            <w:r>
              <w:t>LFP chemistry share of global cell output</w:t>
            </w:r>
          </w:p>
        </w:tc>
      </w:tr>
      <w:tr>
        <w:tc>
          <w:tcPr>
            <w:tcW w:type="dxa" w:w="2304"/>
          </w:tcPr>
          <w:p>
            <w:pPr>
              <w:jc w:val="left"/>
            </w:pPr>
            <w:r>
              <w:t>ev_demand_gwh_yr</w:t>
            </w:r>
          </w:p>
        </w:tc>
        <w:tc>
          <w:tcPr>
            <w:tcW w:type="dxa" w:w="2016"/>
          </w:tcPr>
          <w:p>
            <w:pPr>
              <w:jc w:val="left"/>
            </w:pPr>
            <w:r>
              <w:t>GWh/yr</w:t>
            </w:r>
          </w:p>
        </w:tc>
        <w:tc>
          <w:tcPr>
            <w:tcW w:type="dxa" w:w="1584"/>
          </w:tcPr>
          <w:p>
            <w:pPr>
              <w:jc w:val="left"/>
            </w:pPr>
            <w:r>
              <w:t>820</w:t>
            </w:r>
          </w:p>
        </w:tc>
        <w:tc>
          <w:tcPr>
            <w:tcW w:type="dxa" w:w="4176"/>
          </w:tcPr>
          <w:p>
            <w:pPr>
              <w:jc w:val="left"/>
            </w:pPr>
            <w:r>
              <w:t>Annualised EV battery demand</w:t>
            </w:r>
          </w:p>
        </w:tc>
      </w:tr>
      <w:tr>
        <w:tc>
          <w:tcPr>
            <w:tcW w:type="dxa" w:w="2304"/>
          </w:tcPr>
          <w:p>
            <w:pPr>
              <w:jc w:val="left"/>
            </w:pPr>
            <w:r>
              <w:t>oem_backlog_k</w:t>
            </w:r>
          </w:p>
        </w:tc>
        <w:tc>
          <w:tcPr>
            <w:tcW w:type="dxa" w:w="2016"/>
          </w:tcPr>
          <w:p>
            <w:pPr>
              <w:jc w:val="left"/>
            </w:pPr>
            <w:r>
              <w:t>k vehicles</w:t>
            </w:r>
          </w:p>
        </w:tc>
        <w:tc>
          <w:tcPr>
            <w:tcW w:type="dxa" w:w="1584"/>
          </w:tcPr>
          <w:p>
            <w:pPr>
              <w:jc w:val="left"/>
            </w:pPr>
            <w:r>
              <w:t>0.0</w:t>
            </w:r>
          </w:p>
        </w:tc>
        <w:tc>
          <w:tcPr>
            <w:tcW w:type="dxa" w:w="4176"/>
          </w:tcPr>
          <w:p>
            <w:pPr>
              <w:jc w:val="left"/>
            </w:pPr>
            <w:r>
              <w:t>Cumulative unfulfilled OEM orders</w:t>
            </w:r>
          </w:p>
        </w:tc>
      </w:tr>
      <w:tr>
        <w:tc>
          <w:tcPr>
            <w:tcW w:type="dxa" w:w="2304"/>
          </w:tcPr>
          <w:p>
            <w:pPr>
              <w:jc w:val="left"/>
            </w:pPr>
            <w:r>
              <w:t>bullwhip_index</w:t>
            </w:r>
          </w:p>
        </w:tc>
        <w:tc>
          <w:tcPr>
            <w:tcW w:type="dxa" w:w="2016"/>
          </w:tcPr>
          <w:p>
            <w:pPr>
              <w:jc w:val="left"/>
            </w:pPr>
            <w:r>
              <w:t>dimensionless</w:t>
            </w:r>
          </w:p>
        </w:tc>
        <w:tc>
          <w:tcPr>
            <w:tcW w:type="dxa" w:w="1584"/>
          </w:tcPr>
          <w:p>
            <w:pPr>
              <w:jc w:val="left"/>
            </w:pPr>
            <w:r>
              <w:t>1.0</w:t>
            </w:r>
          </w:p>
        </w:tc>
        <w:tc>
          <w:tcPr>
            <w:tcW w:type="dxa" w:w="4176"/>
          </w:tcPr>
          <w:p>
            <w:pPr>
              <w:jc w:val="left"/>
            </w:pPr>
            <w:r>
              <w:t>EWMA order amplification ratio</w:t>
            </w:r>
          </w:p>
        </w:tc>
      </w:tr>
    </w:tbl>
    <w:p/>
    <w:p>
      <w:r>
        <w:rPr>
          <w:b/>
          <w:i w:val="0"/>
        </w:rPr>
        <w:t>Scales:</w:t>
      </w:r>
    </w:p>
    <w:p>
      <w:pPr>
        <w:pStyle w:val="ListBullet"/>
        <w:ind w:left="360"/>
      </w:pPr>
      <w:r>
        <w:t>Temporal: discrete weekly time steps (dt = 1 week); horizon = 260 weeks (5 years).</w:t>
      </w:r>
    </w:p>
    <w:p>
      <w:pPr>
        <w:pStyle w:val="ListBullet"/>
        <w:ind w:left="360"/>
      </w:pPr>
      <w:r>
        <w:t>Spatial: global (no spatial topology); agents are distinguished by tier and region, not geography.</w:t>
      </w:r>
    </w:p>
    <w:p>
      <w:pPr>
        <w:pStyle w:val="Heading3"/>
        <w:jc w:val="left"/>
      </w:pPr>
      <w:r>
        <w:t>2.1.3  Process Overview and Scheduling</w:t>
      </w:r>
    </w:p>
    <w:p>
      <w:r>
        <w:rPr>
          <w:b w:val="0"/>
          <w:i w:val="0"/>
        </w:rPr>
        <w:t>Each week, the following processes execute in strict sequence:</w:t>
      </w:r>
    </w:p>
    <w:p>
      <w:pPr>
        <w:pStyle w:val="ListNumber"/>
        <w:ind w:left="360"/>
      </w:pPr>
      <w:r>
        <w:t>Shock injection: any shocks scheduled for this week are applied to the targeted agents.</w:t>
      </w:r>
    </w:p>
    <w:p>
      <w:pPr>
        <w:pStyle w:val="ListNumber"/>
        <w:ind w:left="360"/>
      </w:pPr>
      <w:r>
        <w:t>SD → ABM signal: the SD model computes input_fractions (availability [0,2]) and price_signals for all stocks; these are read by agents in steps 3–6.</w:t>
      </w:r>
    </w:p>
    <w:p>
      <w:pPr>
        <w:pStyle w:val="ListNumber"/>
        <w:ind w:left="360"/>
      </w:pPr>
      <w:r>
        <w:t>Mineral suppliers step: each MineralSupplierAgent updates its output_fraction based on shock state and recovery rate.</w:t>
      </w:r>
    </w:p>
    <w:p>
      <w:pPr>
        <w:pStyle w:val="ListNumber"/>
        <w:ind w:left="360"/>
      </w:pPr>
      <w:r>
        <w:t>Cell manufacturers step: each CellManufacturerAgent applies the Leontief production constraint, updates inventory, and fulfils downstream demand.</w:t>
      </w:r>
    </w:p>
    <w:p>
      <w:pPr>
        <w:pStyle w:val="ListNumber"/>
        <w:ind w:left="360"/>
      </w:pPr>
      <w:r>
        <w:t>Tier-1 suppliers step: each Tier1SupplierAgent receives pipeline deliveries, places new orders (order-up-to + bullwhip), and delivers from inventory.</w:t>
      </w:r>
    </w:p>
    <w:p>
      <w:pPr>
        <w:pStyle w:val="ListNumber"/>
        <w:ind w:left="360"/>
      </w:pPr>
      <w:r>
        <w:t>OEM agents step: each OEMAgent receives component deliveries, applies the Leontief production constraint across all four subsystems, and records shortfalls.</w:t>
      </w:r>
    </w:p>
    <w:p>
      <w:pPr>
        <w:pStyle w:val="ListNumber"/>
        <w:ind w:left="360"/>
      </w:pPr>
      <w:r>
        <w:t>Market agents step: each MarketAgent advances trend demand and applies price-level adjustment.</w:t>
      </w:r>
    </w:p>
    <w:p>
      <w:pPr>
        <w:pStyle w:val="ListNumber"/>
        <w:ind w:left="360"/>
      </w:pPr>
      <w:r>
        <w:t>ABM → SD aggregation: all agent outputs are aggregated into inflow/outflow pairs and passed to the SD model via _collect_flows().</w:t>
      </w:r>
    </w:p>
    <w:p>
      <w:pPr>
        <w:pStyle w:val="ListNumber"/>
        <w:ind w:left="360"/>
      </w:pPr>
      <w:r>
        <w:t>SD update: the SD model updates all stocks (Euler integration), runs all five feedback loops, and records state.</w:t>
      </w:r>
    </w:p>
    <w:p>
      <w:pPr>
        <w:pStyle w:val="ListNumber"/>
        <w:ind w:left="360"/>
      </w:pPr>
      <w:r>
        <w:t>Metrics recording: a full snapshot of all state variables is appended to the results DataFrame.</w:t>
      </w:r>
    </w:p>
    <w:p>
      <w:pPr>
        <w:pStyle w:val="Heading2"/>
        <w:jc w:val="left"/>
      </w:pPr>
      <w:r>
        <w:t>2.2  Design Concepts</w:t>
      </w:r>
    </w:p>
    <w:p>
      <w:pPr>
        <w:pStyle w:val="Heading3"/>
        <w:jc w:val="left"/>
      </w:pPr>
      <w:r>
        <w:t>2.2.1  Basic Principles</w:t>
      </w:r>
    </w:p>
    <w:p>
      <w:r>
        <w:rPr>
          <w:b w:val="0"/>
          <w:i w:val="0"/>
        </w:rPr>
        <w:t>The model is grounded in three theoretical frameworks:</w:t>
      </w:r>
    </w:p>
    <w:p>
      <w:pPr>
        <w:pStyle w:val="ListBullet"/>
        <w:ind w:left="360"/>
      </w:pPr>
      <w:r>
        <w:t>Leontief production functions: production at each tier is constrained by the scarcest input (min operator). This is consistent with the 'weakest link' vulnerability of just-in-time manufacturing supply chains.</w:t>
      </w:r>
    </w:p>
    <w:p>
      <w:pPr>
        <w:pStyle w:val="ListBullet"/>
        <w:ind w:left="360"/>
      </w:pPr>
      <w:r>
        <w:t>Order-up-to inventory policy: each agent maintains a target stock level and orders enough each period to restore the inventory position (on-hand + in-transit) to the target. This policy is known to generate bullwhip amplification (Lee et al., 1997).</w:t>
      </w:r>
    </w:p>
    <w:p>
      <w:pPr>
        <w:pStyle w:val="ListBullet"/>
        <w:ind w:left="360"/>
      </w:pPr>
      <w:r>
        <w:t>System dynamics feedback structure: aggregate industry-level dynamics (price formation, chemistry substitution, capacity investment) are modelled as stock-flow systems with explicit feedback loops rather than as agent-level decisions, reducing model complexity while preserving system-level behaviour.</w:t>
      </w:r>
    </w:p>
    <w:p>
      <w:pPr>
        <w:pStyle w:val="Heading3"/>
        <w:jc w:val="left"/>
      </w:pPr>
      <w:r>
        <w:t>2.2.2  Emergence</w:t>
      </w:r>
    </w:p>
    <w:p>
      <w:r>
        <w:rPr>
          <w:b w:val="0"/>
          <w:i w:val="0"/>
        </w:rPr>
        <w:t>The following macro-level patterns emerge from micro-level agent interactions:</w:t>
      </w:r>
    </w:p>
    <w:p>
      <w:pPr>
        <w:pStyle w:val="ListBullet"/>
        <w:ind w:left="360"/>
      </w:pPr>
      <w:r>
        <w:t>Bullwhip effect: upstream order amplification arises naturally from decentralised order-up-to decisions without any global coordinator.</w:t>
      </w:r>
    </w:p>
    <w:p>
      <w:pPr>
        <w:pStyle w:val="ListBullet"/>
        <w:ind w:left="360"/>
      </w:pPr>
      <w:r>
        <w:t>Supply-demand price spirals: commodity price spikes emerge when multiple cell manufacturers simultaneously chase lithium or cobalt inventory.</w:t>
      </w:r>
    </w:p>
    <w:p>
      <w:pPr>
        <w:pStyle w:val="ListBullet"/>
        <w:ind w:left="360"/>
      </w:pPr>
      <w:r>
        <w:t>Chemistry substitution waves: industry-wide LFP adoption accelerates when cobalt prices exceed threshold levels, as both the SD chemistry stock and individual agent NMC fractions respond to the same price signal.</w:t>
      </w:r>
    </w:p>
    <w:p>
      <w:pPr>
        <w:pStyle w:val="ListBullet"/>
        <w:ind w:left="360"/>
      </w:pPr>
      <w:r>
        <w:t>Production halt cascades: a mineral shock at Tier 1 causes cell shortages at Tier 2, pack shortages at Tier 3, and OEM production halts at Tier 4 — the cascade depth and timing depend on buffer stock levels along the chain.</w:t>
      </w:r>
    </w:p>
    <w:p>
      <w:pPr>
        <w:pStyle w:val="Heading3"/>
        <w:jc w:val="left"/>
      </w:pPr>
      <w:r>
        <w:t>2.2.3  Adaptation</w:t>
      </w:r>
    </w:p>
    <w:p>
      <w:r>
        <w:rPr>
          <w:b w:val="0"/>
          <w:i w:val="0"/>
        </w:rPr>
        <w:t>Agents adapt their behaviour in response to supply conditions:</w:t>
      </w:r>
    </w:p>
    <w:p>
      <w:pPr>
        <w:pStyle w:val="ListBullet"/>
        <w:ind w:left="360"/>
      </w:pPr>
      <w:r>
        <w:t>Dual sourcing: Tier1SupplierAgents and OEMAgents activate dual sourcing (paying a 20% cost premium) when inventory falls below 20% of target, increasing order rates to restore stocks faster.</w:t>
      </w:r>
    </w:p>
    <w:p>
      <w:pPr>
        <w:pStyle w:val="ListBullet"/>
        <w:ind w:left="360"/>
      </w:pPr>
      <w:r>
        <w:t>Chemistry adaptation: CellManufacturerAgents reduce their effective NMC fraction when cobalt prices are high, blending in more LFP sub-cells even before the industry-level LFP share stock adjusts.</w:t>
      </w:r>
    </w:p>
    <w:p>
      <w:pPr>
        <w:pStyle w:val="ListBullet"/>
        <w:ind w:left="360"/>
      </w:pPr>
      <w:r>
        <w:t>Capacity growth: all agents grow their production capacity at the IEA-calibrated 29%/yr baseline rate, modulated by their financial profile's growth_multiplier.</w:t>
      </w:r>
    </w:p>
    <w:p>
      <w:pPr>
        <w:pStyle w:val="Heading3"/>
        <w:jc w:val="left"/>
      </w:pPr>
      <w:r>
        <w:t>2.2.4  Objectives</w:t>
      </w:r>
    </w:p>
    <w:p>
      <w:r>
        <w:rPr>
          <w:b w:val="0"/>
          <w:i w:val="0"/>
        </w:rPr>
        <w:t>Agents pursue implicit objectives through their decision rules:</w:t>
      </w:r>
    </w:p>
    <w:p>
      <w:pPr>
        <w:pStyle w:val="ListBullet"/>
        <w:ind w:left="360"/>
      </w:pPr>
      <w:r>
        <w:t>Cell manufacturers: maximise output subject to input availability; maintain safety-stock target.</w:t>
      </w:r>
    </w:p>
    <w:p>
      <w:pPr>
        <w:pStyle w:val="ListBullet"/>
        <w:ind w:left="360"/>
      </w:pPr>
      <w:r>
        <w:t>Tier-1 suppliers: maintain inventory position at target; minimise shortage weeks.</w:t>
      </w:r>
    </w:p>
    <w:p>
      <w:pPr>
        <w:pStyle w:val="ListBullet"/>
        <w:ind w:left="360"/>
      </w:pPr>
      <w:r>
        <w:t>OEMs: maximise vehicle production up to 110% of weekly target; clear backlog at 15%/week.</w:t>
      </w:r>
    </w:p>
    <w:p>
      <w:pPr>
        <w:pStyle w:val="ListBullet"/>
        <w:ind w:left="360"/>
      </w:pPr>
      <w:r>
        <w:t>Market agents: no optimisation — demand is exogenous with price-level adjustment.</w:t>
      </w:r>
    </w:p>
    <w:p>
      <w:pPr>
        <w:pStyle w:val="Heading3"/>
        <w:jc w:val="left"/>
      </w:pPr>
      <w:r>
        <w:t>2.2.4a  Production, Inventory, and Capacity Decisions</w:t>
      </w:r>
    </w:p>
    <w:p>
      <w:r>
        <w:rPr>
          <w:b w:val="0"/>
          <w:i w:val="0"/>
        </w:rPr>
        <w:t>Agent types differ in how they decide production, inventory, and capacity. The model intentionally avoids one universal firm rule because each supply-chain tier faces a different operational constraint: geological supply shares at Tier 1, chemistry-specific materials at Tier 2, lead-time ordering at Tier 3, assembly synchronisation at Tier 4, and price/backlog-sensitive demand in markets.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232"/>
            <w:shd w:val="clear" w:color="auto" w:fill="D9E2F3"/>
          </w:tcPr>
          <w:p>
            <w:pPr>
              <w:jc w:val="center"/>
            </w:pPr>
            <w:r>
              <w:rPr>
                <w:b/>
              </w:rPr>
              <w:t>Tier / Agent Type</w:t>
            </w:r>
          </w:p>
        </w:tc>
        <w:tc>
          <w:tcPr>
            <w:tcW w:type="dxa" w:w="2448"/>
            <w:shd w:val="clear" w:color="auto" w:fill="D9E2F3"/>
          </w:tcPr>
          <w:p>
            <w:pPr>
              <w:jc w:val="center"/>
            </w:pPr>
            <w:r>
              <w:rPr>
                <w:b/>
              </w:rPr>
              <w:t>Production Decision</w:t>
            </w:r>
          </w:p>
        </w:tc>
        <w:tc>
          <w:tcPr>
            <w:tcW w:type="dxa" w:w="2448"/>
            <w:shd w:val="clear" w:color="auto" w:fill="D9E2F3"/>
          </w:tcPr>
          <w:p>
            <w:pPr>
              <w:jc w:val="center"/>
            </w:pPr>
            <w:r>
              <w:rPr>
                <w:b/>
              </w:rPr>
              <w:t>Inventory Decision</w:t>
            </w:r>
          </w:p>
        </w:tc>
        <w:tc>
          <w:tcPr>
            <w:tcW w:type="dxa" w:w="2232"/>
            <w:shd w:val="clear" w:color="auto" w:fill="D9E2F3"/>
          </w:tcPr>
          <w:p>
            <w:pPr>
              <w:jc w:val="center"/>
            </w:pPr>
            <w:r>
              <w:rPr>
                <w:b/>
              </w:rPr>
              <w:t>Capacity Decision</w:t>
            </w:r>
          </w:p>
        </w:tc>
        <w:tc>
          <w:tcPr>
            <w:tcW w:type="dxa" w:w="2448"/>
            <w:shd w:val="clear" w:color="auto" w:fill="D9E2F3"/>
          </w:tcPr>
          <w:p>
            <w:pPr>
              <w:jc w:val="center"/>
            </w:pPr>
            <w:r>
              <w:rPr>
                <w:b/>
              </w:rPr>
              <w:t>Interaction Rule</w:t>
            </w:r>
          </w:p>
        </w:tc>
      </w:tr>
      <w:tr>
        <w:tc>
          <w:tcPr>
            <w:tcW w:type="dxa" w:w="2232"/>
          </w:tcPr>
          <w:p>
            <w:pPr>
              <w:jc w:val="left"/>
            </w:pPr>
            <w:r>
              <w:t>Tier 1: Mineral supplier agents</w:t>
            </w:r>
          </w:p>
        </w:tc>
        <w:tc>
          <w:tcPr>
            <w:tcW w:type="dxa" w:w="2448"/>
          </w:tcPr>
          <w:p>
            <w:pPr>
              <w:jc w:val="left"/>
            </w:pPr>
            <w:r>
              <w:t>Weekly supply contribution = global source share x shock multiplier; after a shock resolves, output recovers at the calibrated weekly recovery rate.</w:t>
            </w:r>
          </w:p>
        </w:tc>
        <w:tc>
          <w:tcPr>
            <w:tcW w:type="dxa" w:w="2448"/>
          </w:tcPr>
          <w:p>
            <w:pPr>
              <w:jc w:val="left"/>
            </w:pPr>
            <w:r>
              <w:t>No private firm inventory decision; mineral inventory is represented by SD stocks measured in weeks of EV-industry consumption.</w:t>
            </w:r>
          </w:p>
        </w:tc>
        <w:tc>
          <w:tcPr>
            <w:tcW w:type="dxa" w:w="2232"/>
          </w:tcPr>
          <w:p>
            <w:pPr>
              <w:jc w:val="left"/>
            </w:pPr>
            <w:r>
              <w:t>No agent-level investment decision; mineral supply expansion is handled by the SD mineral supply scale with mineral-specific growth rates.</w:t>
            </w:r>
          </w:p>
        </w:tc>
        <w:tc>
          <w:tcPr>
            <w:tcW w:type="dxa" w:w="2448"/>
          </w:tcPr>
          <w:p>
            <w:pPr>
              <w:jc w:val="left"/>
            </w:pPr>
            <w:r>
              <w:t>Supply enters mineral transit pipelines, then SD stocks; downstream agents read measured input_fractions.</w:t>
            </w:r>
          </w:p>
        </w:tc>
      </w:tr>
      <w:tr>
        <w:tc>
          <w:tcPr>
            <w:tcW w:type="dxa" w:w="2232"/>
          </w:tcPr>
          <w:p>
            <w:pPr>
              <w:jc w:val="left"/>
            </w:pPr>
            <w:r>
              <w:t>Tier 2: LFP-heavy cell manufacturers</w:t>
            </w:r>
          </w:p>
        </w:tc>
        <w:tc>
          <w:tcPr>
            <w:tcW w:type="dxa" w:w="2448"/>
          </w:tcPr>
          <w:p>
            <w:pPr>
              <w:jc w:val="left"/>
            </w:pPr>
            <w:r>
              <w:t>Produce up to weekly capacity subject to lithium, graphite, shock state, and weak cobalt exposure because LFP cells require no cobalt.</w:t>
            </w:r>
          </w:p>
        </w:tc>
        <w:tc>
          <w:tcPr>
            <w:tcW w:type="dxa" w:w="2448"/>
          </w:tcPr>
          <w:p>
            <w:pPr>
              <w:jc w:val="left"/>
            </w:pPr>
            <w:r>
              <w:t>Order-up-to target inventory: platform leaders replenish faster than hyper-scale challengers and NMC/NCA incumbents.</w:t>
            </w:r>
          </w:p>
        </w:tc>
        <w:tc>
          <w:tcPr>
            <w:tcW w:type="dxa" w:w="2232"/>
          </w:tcPr>
          <w:p>
            <w:pPr>
              <w:jc w:val="left"/>
            </w:pPr>
            <w:r>
              <w:t>Weekly cell capacity grows at the baseline growth rate multiplied by the financial growth multiplier.</w:t>
            </w:r>
          </w:p>
        </w:tc>
        <w:tc>
          <w:tcPr>
            <w:tcW w:type="dxa" w:w="2448"/>
          </w:tcPr>
          <w:p>
            <w:pPr>
              <w:jc w:val="left"/>
            </w:pPr>
            <w:r>
              <w:t>Demand is allocated by cell-maker market share; output feeds cell inventory, pack production, and mineral consumption.</w:t>
            </w:r>
          </w:p>
        </w:tc>
      </w:tr>
      <w:tr>
        <w:tc>
          <w:tcPr>
            <w:tcW w:type="dxa" w:w="2232"/>
          </w:tcPr>
          <w:p>
            <w:pPr>
              <w:jc w:val="left"/>
            </w:pPr>
            <w:r>
              <w:t>Tier 2: NMC/NCA-heavy cell manufacturers</w:t>
            </w:r>
          </w:p>
        </w:tc>
        <w:tc>
          <w:tcPr>
            <w:tcW w:type="dxa" w:w="2448"/>
          </w:tcPr>
          <w:p>
            <w:pPr>
              <w:jc w:val="left"/>
            </w:pPr>
            <w:r>
              <w:t>Same capacity and inventory rule as LFP-heavy makers, but production has stronger cobalt sensitivity through the NMC fraction.</w:t>
            </w:r>
          </w:p>
        </w:tc>
        <w:tc>
          <w:tcPr>
            <w:tcW w:type="dxa" w:w="2448"/>
          </w:tcPr>
          <w:p>
            <w:pPr>
              <w:jc w:val="left"/>
            </w:pPr>
            <w:r>
              <w:t>Higher safety stock for some makers; unfulfilled downstream demand becomes cell backlog.</w:t>
            </w:r>
          </w:p>
        </w:tc>
        <w:tc>
          <w:tcPr>
            <w:tcW w:type="dxa" w:w="2232"/>
          </w:tcPr>
          <w:p>
            <w:pPr>
              <w:jc w:val="left"/>
            </w:pPr>
            <w:r>
              <w:t>Capacity growth is financially modulated; the SD layer separately tracks aggregate cell-capacity investment delays.</w:t>
            </w:r>
          </w:p>
        </w:tc>
        <w:tc>
          <w:tcPr>
            <w:tcW w:type="dxa" w:w="2448"/>
          </w:tcPr>
          <w:p>
            <w:pPr>
              <w:jc w:val="left"/>
            </w:pPr>
            <w:r>
              <w:t>High cobalt price reduces effective NMC dependence and raises industry LFP share, creating chemistry adaptation.</w:t>
            </w:r>
          </w:p>
        </w:tc>
      </w:tr>
      <w:tr>
        <w:tc>
          <w:tcPr>
            <w:tcW w:type="dxa" w:w="2232"/>
          </w:tcPr>
          <w:p>
            <w:pPr>
              <w:jc w:val="left"/>
            </w:pPr>
            <w:r>
              <w:t>Tier 3: Battery-pack supplier</w:t>
            </w:r>
          </w:p>
        </w:tc>
        <w:tc>
          <w:tcPr>
            <w:tcW w:type="dxa" w:w="2448"/>
          </w:tcPr>
          <w:p>
            <w:pPr>
              <w:jc w:val="left"/>
            </w:pPr>
            <w:r>
              <w:t>Pack output is constrained by capacity, pack inventory, and cell availability.</w:t>
            </w:r>
          </w:p>
        </w:tc>
        <w:tc>
          <w:tcPr>
            <w:tcW w:type="dxa" w:w="2448"/>
          </w:tcPr>
          <w:p>
            <w:pPr>
              <w:jc w:val="left"/>
            </w:pPr>
            <w:r>
              <w:t>Uses lead-time pipeline and order-up-to policy; shortfalls are amplified by the bullwhip factor.</w:t>
            </w:r>
          </w:p>
        </w:tc>
        <w:tc>
          <w:tcPr>
            <w:tcW w:type="dxa" w:w="2232"/>
          </w:tcPr>
          <w:p>
            <w:pPr>
              <w:jc w:val="left"/>
            </w:pPr>
            <w:r>
              <w:t>Weekly capacity grows with the demand trend and financial multiplier.</w:t>
            </w:r>
          </w:p>
        </w:tc>
        <w:tc>
          <w:tcPr>
            <w:tcW w:type="dxa" w:w="2448"/>
          </w:tcPr>
          <w:p>
            <w:pPr>
              <w:jc w:val="left"/>
            </w:pPr>
            <w:r>
              <w:t>Pack deliveries are allocated to OEMs by OEM production share.</w:t>
            </w:r>
          </w:p>
        </w:tc>
      </w:tr>
      <w:tr>
        <w:tc>
          <w:tcPr>
            <w:tcW w:type="dxa" w:w="2232"/>
          </w:tcPr>
          <w:p>
            <w:pPr>
              <w:jc w:val="left"/>
            </w:pPr>
            <w:r>
              <w:t>Tier 3: Inverter supplier</w:t>
            </w:r>
          </w:p>
        </w:tc>
        <w:tc>
          <w:tcPr>
            <w:tcW w:type="dxa" w:w="2448"/>
          </w:tcPr>
          <w:p>
            <w:pPr>
              <w:jc w:val="left"/>
            </w:pPr>
            <w:r>
              <w:t>Inverter output is partially constrained by SiC wafer availability; non-SiC inverter production can continue during SiC shortage.</w:t>
            </w:r>
          </w:p>
        </w:tc>
        <w:tc>
          <w:tcPr>
            <w:tcW w:type="dxa" w:w="2448"/>
          </w:tcPr>
          <w:p>
            <w:pPr>
              <w:jc w:val="left"/>
            </w:pPr>
            <w:r>
              <w:t>Uses order-up-to inventory, long lead time, shortage tracking, and dual sourcing below the inventory trigger.</w:t>
            </w:r>
          </w:p>
        </w:tc>
        <w:tc>
          <w:tcPr>
            <w:tcW w:type="dxa" w:w="2232"/>
          </w:tcPr>
          <w:p>
            <w:pPr>
              <w:jc w:val="left"/>
            </w:pPr>
            <w:r>
              <w:t>Capacity grows weekly; recovery is slower because power electronics manufacturing is specialised.</w:t>
            </w:r>
          </w:p>
        </w:tc>
        <w:tc>
          <w:tcPr>
            <w:tcW w:type="dxa" w:w="2448"/>
          </w:tcPr>
          <w:p>
            <w:pPr>
              <w:jc w:val="left"/>
            </w:pPr>
            <w:r>
              <w:t>SiC shortages lower inverter deliveries and can constrain OEM assembly.</w:t>
            </w:r>
          </w:p>
        </w:tc>
      </w:tr>
      <w:tr>
        <w:tc>
          <w:tcPr>
            <w:tcW w:type="dxa" w:w="2232"/>
          </w:tcPr>
          <w:p>
            <w:pPr>
              <w:jc w:val="left"/>
            </w:pPr>
            <w:r>
              <w:t>Tier 3: Motor supplier</w:t>
            </w:r>
          </w:p>
        </w:tc>
        <w:tc>
          <w:tcPr>
            <w:tcW w:type="dxa" w:w="2448"/>
          </w:tcPr>
          <w:p>
            <w:pPr>
              <w:jc w:val="left"/>
            </w:pPr>
            <w:r>
              <w:t>Motor output is partially constrained by REE availability for PMSM motors; high REE price reduces effective REE dependence through motor-design substitution.</w:t>
            </w:r>
          </w:p>
        </w:tc>
        <w:tc>
          <w:tcPr>
            <w:tcW w:type="dxa" w:w="2448"/>
          </w:tcPr>
          <w:p>
            <w:pPr>
              <w:jc w:val="left"/>
            </w:pPr>
            <w:r>
              <w:t>Uses order-up-to inventory and lead-time pipeline, recording unmet component demand as shortage.</w:t>
            </w:r>
          </w:p>
        </w:tc>
        <w:tc>
          <w:tcPr>
            <w:tcW w:type="dxa" w:w="2232"/>
          </w:tcPr>
          <w:p>
            <w:pPr>
              <w:jc w:val="left"/>
            </w:pPr>
            <w:r>
              <w:t>Capacity grows weekly with financial adjustment.</w:t>
            </w:r>
          </w:p>
        </w:tc>
        <w:tc>
          <w:tcPr>
            <w:tcW w:type="dxa" w:w="2448"/>
          </w:tcPr>
          <w:p>
            <w:pPr>
              <w:jc w:val="left"/>
            </w:pPr>
            <w:r>
              <w:t>REE shortage affects motor deliveries, which become a Leontief input to OEM assembly.</w:t>
            </w:r>
          </w:p>
        </w:tc>
      </w:tr>
      <w:tr>
        <w:tc>
          <w:tcPr>
            <w:tcW w:type="dxa" w:w="2232"/>
          </w:tcPr>
          <w:p>
            <w:pPr>
              <w:jc w:val="left"/>
            </w:pPr>
            <w:r>
              <w:t>Tier 3: Wiring-harness supplier</w:t>
            </w:r>
          </w:p>
        </w:tc>
        <w:tc>
          <w:tcPr>
            <w:tcW w:type="dxa" w:w="2448"/>
          </w:tcPr>
          <w:p>
            <w:pPr>
              <w:jc w:val="left"/>
            </w:pPr>
            <w:r>
              <w:t>Harness output is mainly capacity and shock constrained; copper is tracked in SD but current ABM dependency is zero.</w:t>
            </w:r>
          </w:p>
        </w:tc>
        <w:tc>
          <w:tcPr>
            <w:tcW w:type="dxa" w:w="2448"/>
          </w:tcPr>
          <w:p>
            <w:pPr>
              <w:jc w:val="left"/>
            </w:pPr>
            <w:r>
              <w:t>Very low safety stock represents JIT harness supply; disruptions propagate quickly.</w:t>
            </w:r>
          </w:p>
        </w:tc>
        <w:tc>
          <w:tcPr>
            <w:tcW w:type="dxa" w:w="2232"/>
          </w:tcPr>
          <w:p>
            <w:pPr>
              <w:jc w:val="left"/>
            </w:pPr>
            <w:r>
              <w:t>Capacity grows weekly and recovery is comparatively faster after shock resolution.</w:t>
            </w:r>
          </w:p>
        </w:tc>
        <w:tc>
          <w:tcPr>
            <w:tcW w:type="dxa" w:w="2448"/>
          </w:tcPr>
          <w:p>
            <w:pPr>
              <w:jc w:val="left"/>
            </w:pPr>
            <w:r>
              <w:t>Harness output is required one-for-one by OEMs; shortage quickly reduces vehicle assembly.</w:t>
            </w:r>
          </w:p>
        </w:tc>
      </w:tr>
      <w:tr>
        <w:tc>
          <w:tcPr>
            <w:tcW w:type="dxa" w:w="2232"/>
          </w:tcPr>
          <w:p>
            <w:pPr>
              <w:jc w:val="left"/>
            </w:pPr>
            <w:r>
              <w:t>Tier 4: OEM agents</w:t>
            </w:r>
          </w:p>
        </w:tc>
        <w:tc>
          <w:tcPr>
            <w:tcW w:type="dxa" w:w="2448"/>
          </w:tcPr>
          <w:p>
            <w:pPr>
              <w:jc w:val="left"/>
            </w:pPr>
            <w:r>
              <w:t>Vehicle output follows a Leontief component constraint, with vertical integration cushioning part of component shortages before the shock multiplier is applied.</w:t>
            </w:r>
          </w:p>
        </w:tc>
        <w:tc>
          <w:tcPr>
            <w:tcW w:type="dxa" w:w="2448"/>
          </w:tcPr>
          <w:p>
            <w:pPr>
              <w:jc w:val="left"/>
            </w:pPr>
            <w:r>
              <w:t>OEMs receive components, consume one of each per vehicle, accumulate backlog from shortfalls, and clear backlog using surplus production.</w:t>
            </w:r>
          </w:p>
        </w:tc>
        <w:tc>
          <w:tcPr>
            <w:tcW w:type="dxa" w:w="2232"/>
          </w:tcPr>
          <w:p>
            <w:pPr>
              <w:jc w:val="left"/>
            </w:pPr>
            <w:r>
              <w:t>Weekly assembly target grows over time and is financially modulated; recovery rate controls post-shock throughput restoration.</w:t>
            </w:r>
          </w:p>
        </w:tc>
        <w:tc>
          <w:tcPr>
            <w:tcW w:type="dxa" w:w="2448"/>
          </w:tcPr>
          <w:p>
            <w:pPr>
              <w:jc w:val="left"/>
            </w:pPr>
            <w:r>
              <w:t>OEMs pull component demand upstream and convert component shortages into production loss and backlog.</w:t>
            </w:r>
          </w:p>
        </w:tc>
      </w:tr>
      <w:tr>
        <w:tc>
          <w:tcPr>
            <w:tcW w:type="dxa" w:w="2232"/>
          </w:tcPr>
          <w:p>
            <w:pPr>
              <w:jc w:val="left"/>
            </w:pPr>
            <w:r>
              <w:t>Markets: regional demand agents</w:t>
            </w:r>
          </w:p>
        </w:tc>
        <w:tc>
          <w:tcPr>
            <w:tcW w:type="dxa" w:w="2448"/>
          </w:tcPr>
          <w:p>
            <w:pPr>
              <w:jc w:val="left"/>
            </w:pPr>
            <w:r>
              <w:t>No production; realised demand is trend demand adjusted by battery price signal and backlog/availability pressure.</w:t>
            </w:r>
          </w:p>
        </w:tc>
        <w:tc>
          <w:tcPr>
            <w:tcW w:type="dxa" w:w="2448"/>
          </w:tcPr>
          <w:p>
            <w:pPr>
              <w:jc w:val="left"/>
            </w:pPr>
            <w:r>
              <w:t>No inventory; high backlog reduces realised near-term demand through region-specific deferral, cancellation, or switching sensitivity.</w:t>
            </w:r>
          </w:p>
        </w:tc>
        <w:tc>
          <w:tcPr>
            <w:tcW w:type="dxa" w:w="2232"/>
          </w:tcPr>
          <w:p>
            <w:pPr>
              <w:jc w:val="left"/>
            </w:pPr>
            <w:r>
              <w:t>No capacity decision; regional demand trend follows configured YoY growth.</w:t>
            </w:r>
          </w:p>
        </w:tc>
        <w:tc>
          <w:tcPr>
            <w:tcW w:type="dxa" w:w="2448"/>
          </w:tcPr>
          <w:p>
            <w:pPr>
              <w:jc w:val="left"/>
            </w:pPr>
            <w:r>
              <w:t>Demand drives cell demand and OEM production targets; price and backlog close feedback loops.</w:t>
            </w:r>
          </w:p>
        </w:tc>
      </w:tr>
    </w:tbl>
    <w:p>
      <w:pPr>
        <w:pStyle w:val="Heading3"/>
        <w:jc w:val="left"/>
      </w:pPr>
      <w:r>
        <w:t>2.2.5  Learning</w:t>
      </w:r>
    </w:p>
    <w:p>
      <w:r>
        <w:rPr>
          <w:b w:val="0"/>
          <w:i w:val="0"/>
        </w:rPr>
        <w:t>Agents do not learn in the machine-learning sense. Adaptive responses are hard-coded behavioural rules (dual sourcing triggers, chemistry adjustment) rather than learned strategies. This is consistent with empirical observations that supply chain resilience measures are policy-defined, not emergent from learning.</w:t>
      </w:r>
    </w:p>
    <w:p>
      <w:pPr>
        <w:pStyle w:val="Heading3"/>
        <w:jc w:val="left"/>
      </w:pPr>
      <w:r>
        <w:t>2.2.6  Prediction</w:t>
      </w:r>
    </w:p>
    <w:p>
      <w:r>
        <w:rPr>
          <w:b w:val="0"/>
          <w:i w:val="0"/>
        </w:rPr>
        <w:t>Agents do not form explicit forecasts of future prices or supply conditions. The order-up-to policy uses current inventory position as the signal, effectively assuming demand and lead times remain constant — the standard assumption in the bullwhip literature that generates the most conservative (amplifying) ordering behaviour.</w:t>
      </w:r>
    </w:p>
    <w:p>
      <w:pPr>
        <w:pStyle w:val="Heading3"/>
        <w:jc w:val="left"/>
      </w:pPr>
      <w:r>
        <w:t>2.2.7  Sensing</w:t>
      </w:r>
    </w:p>
    <w:p>
      <w:r>
        <w:rPr>
          <w:b w:val="0"/>
          <w:i w:val="0"/>
        </w:rPr>
        <w:t>Each agent has access to:</w:t>
      </w:r>
    </w:p>
    <w:p>
      <w:pPr>
        <w:pStyle w:val="ListBullet"/>
        <w:ind w:left="360"/>
      </w:pPr>
      <w:r>
        <w:t>Global signals: SD input_fractions and price_signals (shared state, representing publicly available market information such as commodity spot prices).</w:t>
      </w:r>
    </w:p>
    <w:p>
      <w:pPr>
        <w:pStyle w:val="ListBullet"/>
        <w:ind w:left="360"/>
      </w:pPr>
      <w:r>
        <w:t>Local state only: agents do not observe other agents' inventories or order quantities directly, consistent with real supply chains where such information is typically proprietary.</w:t>
      </w:r>
    </w:p>
    <w:p>
      <w:pPr>
        <w:pStyle w:val="Heading3"/>
        <w:jc w:val="left"/>
      </w:pPr>
      <w:r>
        <w:t>2.2.8  Interaction</w:t>
      </w:r>
    </w:p>
    <w:p>
      <w:r>
        <w:rPr>
          <w:b w:val="0"/>
          <w:i w:val="0"/>
        </w:rPr>
        <w:t>Agent interactions are mediated through the model's query methods:</w:t>
      </w:r>
    </w:p>
    <w:p>
      <w:pPr>
        <w:pStyle w:val="ListBullet"/>
        <w:ind w:left="360"/>
      </w:pPr>
      <w:r>
        <w:t>get_cell_demand(name): returns the fraction of total weekly cell demand allocated to a specific cell maker based on market share.</w:t>
      </w:r>
    </w:p>
    <w:p>
      <w:pPr>
        <w:pStyle w:val="ListBullet"/>
        <w:ind w:left="360"/>
      </w:pPr>
      <w:r>
        <w:t>get_component_deliveries(oem_name): routes Tier-1 output to each OEM in proportion to annual production targets.</w:t>
      </w:r>
    </w:p>
    <w:p>
      <w:pPr>
        <w:pStyle w:val="ListBullet"/>
        <w:ind w:left="360"/>
      </w:pPr>
      <w:r>
        <w:t>Agents do not trade directly with each other; all flows are aggregated through the hybrid model's collect_flows() method.</w:t>
      </w:r>
    </w:p>
    <w:p>
      <w:pPr>
        <w:pStyle w:val="Heading3"/>
        <w:jc w:val="left"/>
      </w:pPr>
      <w:r>
        <w:t>2.2.9  Stochasticity</w:t>
      </w:r>
    </w:p>
    <w:p>
      <w:r>
        <w:rPr>
          <w:b w:val="0"/>
          <w:i w:val="0"/>
        </w:rPr>
        <w:t>The baseline model is deterministic given a fixed random seed. Stochasticity may be introduced through:</w:t>
      </w:r>
    </w:p>
    <w:p>
      <w:pPr>
        <w:pStyle w:val="ListBullet"/>
        <w:ind w:left="360"/>
      </w:pPr>
      <w:r>
        <w:t>Shock timing and severity in scenario runs.</w:t>
      </w:r>
    </w:p>
    <w:p>
      <w:pPr>
        <w:pStyle w:val="ListBullet"/>
        <w:ind w:left="360"/>
      </w:pPr>
      <w:r>
        <w:t>Future extensions: stochastic demand shocks, random lead-time variation, and Monte Carlo resilience testing.</w:t>
      </w:r>
    </w:p>
    <w:p>
      <w:pPr>
        <w:pStyle w:val="Heading3"/>
        <w:jc w:val="left"/>
      </w:pPr>
      <w:r>
        <w:t>2.2.10  Collectives</w:t>
      </w:r>
    </w:p>
    <w:p>
      <w:r>
        <w:rPr>
          <w:b w:val="0"/>
          <w:i w:val="0"/>
        </w:rPr>
        <w:t>Agents are not grouped into formal collectives. The OEM agent groups (Chinese OEMs, US OEMs, etc.) are separate agents sharing the same tier-level configuration rather than a collective entity.</w:t>
      </w:r>
    </w:p>
    <w:p>
      <w:pPr>
        <w:pStyle w:val="Heading3"/>
        <w:jc w:val="left"/>
      </w:pPr>
      <w:r>
        <w:t>2.2.11  Observation</w:t>
      </w:r>
    </w:p>
    <w:p>
      <w:r>
        <w:rPr>
          <w:b w:val="0"/>
          <w:i w:val="0"/>
        </w:rPr>
        <w:t>At every time step, a full snapshot of 40+ state variables is recorded, including:</w:t>
      </w:r>
    </w:p>
    <w:p>
      <w:pPr>
        <w:pStyle w:val="ListBullet"/>
        <w:ind w:left="360"/>
      </w:pPr>
      <w:r>
        <w:t>ABM outputs: cell production GWh, OEM production k-vehicles per region, Tier-1 subsystem output, market demand, total backlog.</w:t>
      </w:r>
    </w:p>
    <w:p>
      <w:pPr>
        <w:pStyle w:val="ListBullet"/>
        <w:ind w:left="360"/>
      </w:pPr>
      <w:r>
        <w:t>SD stocks: weeks of supply for all 10 inventory stocks.</w:t>
      </w:r>
    </w:p>
    <w:p>
      <w:pPr>
        <w:pStyle w:val="ListBullet"/>
        <w:ind w:left="360"/>
      </w:pPr>
      <w:r>
        <w:t>SD prices: price indices for all 5 minerals.</w:t>
      </w:r>
    </w:p>
    <w:p>
      <w:pPr>
        <w:pStyle w:val="ListBullet"/>
        <w:ind w:left="360"/>
      </w:pPr>
      <w:r>
        <w:t>SD derived: LFP share, cell capacity utilisation, EV demand GWh/yr, OEM backlog, bullwhip index.</w:t>
      </w:r>
    </w:p>
    <w:p>
      <w:pPr>
        <w:pStyle w:val="Heading2"/>
        <w:jc w:val="left"/>
      </w:pPr>
      <w:r>
        <w:t>2.3  Details</w:t>
      </w:r>
    </w:p>
    <w:p>
      <w:pPr>
        <w:pStyle w:val="Heading3"/>
        <w:jc w:val="left"/>
      </w:pPr>
      <w:r>
        <w:t>2.3.1  Initialisation</w:t>
      </w:r>
    </w:p>
    <w:p>
      <w:r>
        <w:rPr>
          <w:b w:val="0"/>
          <w:i w:val="0"/>
        </w:rPr>
        <w:t>The model is initialised to the 2023 global EV supply chain baseline:</w:t>
      </w:r>
    </w:p>
    <w:p>
      <w:pPr>
        <w:pStyle w:val="ListBullet"/>
        <w:ind w:left="360"/>
      </w:pPr>
      <w:r>
        <w:t>Cell deployment: 822 GWh (IEA GEO 2024).</w:t>
      </w:r>
    </w:p>
    <w:p>
      <w:pPr>
        <w:pStyle w:val="ListBullet"/>
        <w:ind w:left="360"/>
      </w:pPr>
      <w:r>
        <w:t>Cell nameplate capacity: 1,500 GWh/yr (BNEF Battery Market Outlook 2023).</w:t>
      </w:r>
    </w:p>
    <w:p>
      <w:pPr>
        <w:pStyle w:val="ListBullet"/>
        <w:ind w:left="360"/>
      </w:pPr>
      <w:r>
        <w:t>EV production: 14,000 k vehicles (IEA GEO 2024).</w:t>
      </w:r>
    </w:p>
    <w:p>
      <w:pPr>
        <w:pStyle w:val="ListBullet"/>
        <w:ind w:left="360"/>
      </w:pPr>
      <w:r>
        <w:t>LFP share: 40.3% of deployed GWh (computed from cell maker chemistry profiles).</w:t>
      </w:r>
    </w:p>
    <w:p>
      <w:pPr>
        <w:pStyle w:val="ListBullet"/>
        <w:ind w:left="360"/>
      </w:pPr>
      <w:r>
        <w:t>All inventory stocks initialised at safety-stock target levels.</w:t>
      </w:r>
    </w:p>
    <w:p>
      <w:pPr>
        <w:pStyle w:val="ListBullet"/>
        <w:ind w:left="360"/>
      </w:pPr>
      <w:r>
        <w:t>All price indices initialised at 1.0 (2023 baseline).</w:t>
      </w:r>
    </w:p>
    <w:p>
      <w:pPr>
        <w:pStyle w:val="ListBullet"/>
        <w:ind w:left="360"/>
      </w:pPr>
      <w:r>
        <w:t>Financial calibration multipliers loaded from listed-company financial data (Yahoo Finance 5-year fundamentals); agents with no data use defaults of 1.0.</w:t>
      </w:r>
    </w:p>
    <w:p>
      <w:pPr>
        <w:pStyle w:val="Heading3"/>
        <w:jc w:val="left"/>
      </w:pPr>
      <w:r>
        <w:t>2.3.2  Input Data</w:t>
      </w:r>
    </w:p>
    <w:p>
      <w:r>
        <w:rPr>
          <w:b w:val="0"/>
          <w:i w:val="0"/>
        </w:rPr>
        <w:t>Primary empirical sources:</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val="clear" w:color="auto" w:fill="D9E2F3"/>
          </w:tcPr>
          <w:p>
            <w:pPr>
              <w:jc w:val="center"/>
            </w:pPr>
            <w:r>
              <w:rPr>
                <w:b/>
              </w:rPr>
              <w:t>Parameter Group</w:t>
            </w:r>
          </w:p>
        </w:tc>
        <w:tc>
          <w:tcPr>
            <w:tcW w:type="dxa" w:w="2880"/>
            <w:shd w:val="clear" w:color="auto" w:fill="D9E2F3"/>
          </w:tcPr>
          <w:p>
            <w:pPr>
              <w:jc w:val="center"/>
            </w:pPr>
            <w:r>
              <w:rPr>
                <w:b/>
              </w:rPr>
              <w:t>Source</w:t>
            </w:r>
          </w:p>
        </w:tc>
        <w:tc>
          <w:tcPr>
            <w:tcW w:type="dxa" w:w="4608"/>
            <w:shd w:val="clear" w:color="auto" w:fill="D9E2F3"/>
          </w:tcPr>
          <w:p>
            <w:pPr>
              <w:jc w:val="center"/>
            </w:pPr>
            <w:r>
              <w:rPr>
                <w:b/>
              </w:rPr>
              <w:t>Key Values</w:t>
            </w:r>
          </w:p>
        </w:tc>
      </w:tr>
      <w:tr>
        <w:tc>
          <w:tcPr>
            <w:tcW w:type="dxa" w:w="2592"/>
          </w:tcPr>
          <w:p>
            <w:pPr>
              <w:jc w:val="left"/>
            </w:pPr>
            <w:r>
              <w:t>Mineral supply shares</w:t>
            </w:r>
          </w:p>
        </w:tc>
        <w:tc>
          <w:tcPr>
            <w:tcW w:type="dxa" w:w="2880"/>
          </w:tcPr>
          <w:p>
            <w:pPr>
              <w:jc w:val="left"/>
            </w:pPr>
            <w:r>
              <w:t>USGS MCS 2024</w:t>
            </w:r>
          </w:p>
        </w:tc>
        <w:tc>
          <w:tcPr>
            <w:tcW w:type="dxa" w:w="4608"/>
          </w:tcPr>
          <w:p>
            <w:pPr>
              <w:jc w:val="left"/>
            </w:pPr>
            <w:r>
              <w:t>DRC 70% cobalt; China 85% REE; Australia 46% lithium</w:t>
            </w:r>
          </w:p>
        </w:tc>
      </w:tr>
      <w:tr>
        <w:tc>
          <w:tcPr>
            <w:tcW w:type="dxa" w:w="2592"/>
          </w:tcPr>
          <w:p>
            <w:pPr>
              <w:jc w:val="left"/>
            </w:pPr>
            <w:r>
              <w:t>EV deployment &amp; growth</w:t>
            </w:r>
          </w:p>
        </w:tc>
        <w:tc>
          <w:tcPr>
            <w:tcW w:type="dxa" w:w="2880"/>
          </w:tcPr>
          <w:p>
            <w:pPr>
              <w:jc w:val="left"/>
            </w:pPr>
            <w:r>
              <w:t>IEA GEO 2024</w:t>
            </w:r>
          </w:p>
        </w:tc>
        <w:tc>
          <w:tcPr>
            <w:tcW w:type="dxa" w:w="4608"/>
          </w:tcPr>
          <w:p>
            <w:pPr>
              <w:jc w:val="left"/>
            </w:pPr>
            <w:r>
              <w:t>822 GWh deployed 2023; 29%/yr growth</w:t>
            </w:r>
          </w:p>
        </w:tc>
      </w:tr>
      <w:tr>
        <w:tc>
          <w:tcPr>
            <w:tcW w:type="dxa" w:w="2592"/>
          </w:tcPr>
          <w:p>
            <w:pPr>
              <w:jc w:val="left"/>
            </w:pPr>
            <w:r>
              <w:t>Cell chemistry mix</w:t>
            </w:r>
          </w:p>
        </w:tc>
        <w:tc>
          <w:tcPr>
            <w:tcW w:type="dxa" w:w="2880"/>
          </w:tcPr>
          <w:p>
            <w:pPr>
              <w:jc w:val="left"/>
            </w:pPr>
            <w:r>
              <w:t>IEA GEO 2024; BNEF 2023</w:t>
            </w:r>
          </w:p>
        </w:tc>
        <w:tc>
          <w:tcPr>
            <w:tcW w:type="dxa" w:w="4608"/>
          </w:tcPr>
          <w:p>
            <w:pPr>
              <w:jc w:val="left"/>
            </w:pPr>
            <w:r>
              <w:t>LFP 40.3%; NMC/NCA 59.7%</w:t>
            </w:r>
          </w:p>
        </w:tc>
      </w:tr>
      <w:tr>
        <w:tc>
          <w:tcPr>
            <w:tcW w:type="dxa" w:w="2592"/>
          </w:tcPr>
          <w:p>
            <w:pPr>
              <w:jc w:val="left"/>
            </w:pPr>
            <w:r>
              <w:t>Battery pack price</w:t>
            </w:r>
          </w:p>
        </w:tc>
        <w:tc>
          <w:tcPr>
            <w:tcW w:type="dxa" w:w="2880"/>
          </w:tcPr>
          <w:p>
            <w:pPr>
              <w:jc w:val="left"/>
            </w:pPr>
            <w:r>
              <w:t>BNEF Battery Price Survey 2023</w:t>
            </w:r>
          </w:p>
        </w:tc>
        <w:tc>
          <w:tcPr>
            <w:tcW w:type="dxa" w:w="4608"/>
          </w:tcPr>
          <w:p>
            <w:pPr>
              <w:jc w:val="left"/>
            </w:pPr>
            <w:r>
              <w:t>~$139/kWh pack; price elasticity −0.30</w:t>
            </w:r>
          </w:p>
        </w:tc>
      </w:tr>
      <w:tr>
        <w:tc>
          <w:tcPr>
            <w:tcW w:type="dxa" w:w="2592"/>
          </w:tcPr>
          <w:p>
            <w:pPr>
              <w:jc w:val="left"/>
            </w:pPr>
            <w:r>
              <w:t>SiC wafer supply</w:t>
            </w:r>
          </w:p>
        </w:tc>
        <w:tc>
          <w:tcPr>
            <w:tcW w:type="dxa" w:w="2880"/>
          </w:tcPr>
          <w:p>
            <w:pPr>
              <w:jc w:val="left"/>
            </w:pPr>
            <w:r>
              <w:t>Yole Intelligence 2023</w:t>
            </w:r>
          </w:p>
        </w:tc>
        <w:tc>
          <w:tcPr>
            <w:tcW w:type="dxa" w:w="4608"/>
          </w:tcPr>
          <w:p>
            <w:pPr>
              <w:jc w:val="left"/>
            </w:pPr>
            <w:r>
              <w:t>Wolfspeed 30%; SiC 45% of EV inverters</w:t>
            </w:r>
          </w:p>
        </w:tc>
      </w:tr>
      <w:tr>
        <w:tc>
          <w:tcPr>
            <w:tcW w:type="dxa" w:w="2592"/>
          </w:tcPr>
          <w:p>
            <w:pPr>
              <w:jc w:val="left"/>
            </w:pPr>
            <w:r>
              <w:t>Price dynamics</w:t>
            </w:r>
          </w:p>
        </w:tc>
        <w:tc>
          <w:tcPr>
            <w:tcW w:type="dxa" w:w="2880"/>
          </w:tcPr>
          <w:p>
            <w:pPr>
              <w:jc w:val="left"/>
            </w:pPr>
            <w:r>
              <w:t>Benchmark Mineral Intelligence 2021–22</w:t>
            </w:r>
          </w:p>
        </w:tc>
        <w:tc>
          <w:tcPr>
            <w:tcW w:type="dxa" w:w="4608"/>
          </w:tcPr>
          <w:p>
            <w:pPr>
              <w:jc w:val="left"/>
            </w:pPr>
            <w:r>
              <w:t>Li₂CO₃ doubled in ~20 weeks → speed = 0.05/wk</w:t>
            </w:r>
          </w:p>
        </w:tc>
      </w:tr>
      <w:tr>
        <w:tc>
          <w:tcPr>
            <w:tcW w:type="dxa" w:w="2592"/>
          </w:tcPr>
          <w:p>
            <w:pPr>
              <w:jc w:val="left"/>
            </w:pPr>
            <w:r>
              <w:t>Gigafactory build time</w:t>
            </w:r>
          </w:p>
        </w:tc>
        <w:tc>
          <w:tcPr>
            <w:tcW w:type="dxa" w:w="2880"/>
          </w:tcPr>
          <w:p>
            <w:pPr>
              <w:jc w:val="left"/>
            </w:pPr>
            <w:r>
              <w:t>BNEF Gigafactory Tracker 2023</w:t>
            </w:r>
          </w:p>
        </w:tc>
        <w:tc>
          <w:tcPr>
            <w:tcW w:type="dxa" w:w="4608"/>
          </w:tcPr>
          <w:p>
            <w:pPr>
              <w:jc w:val="left"/>
            </w:pPr>
            <w:r>
              <w:t>2 years (104 weeks) from groundbreaking to production</w:t>
            </w:r>
          </w:p>
        </w:tc>
      </w:tr>
      <w:tr>
        <w:tc>
          <w:tcPr>
            <w:tcW w:type="dxa" w:w="2592"/>
          </w:tcPr>
          <w:p>
            <w:pPr>
              <w:jc w:val="left"/>
            </w:pPr>
            <w:r>
              <w:t>OEM production targets</w:t>
            </w:r>
          </w:p>
        </w:tc>
        <w:tc>
          <w:tcPr>
            <w:tcW w:type="dxa" w:w="2880"/>
          </w:tcPr>
          <w:p>
            <w:pPr>
              <w:jc w:val="left"/>
            </w:pPr>
            <w:r>
              <w:t>IEA GEO 2024; company AR 2023</w:t>
            </w:r>
          </w:p>
        </w:tc>
        <w:tc>
          <w:tcPr>
            <w:tcW w:type="dxa" w:w="4608"/>
          </w:tcPr>
          <w:p>
            <w:pPr>
              <w:jc w:val="left"/>
            </w:pPr>
            <w:r>
              <w:t>BYD 1,575k; CATL 37% cell share</w:t>
            </w:r>
          </w:p>
        </w:tc>
      </w:tr>
      <w:tr>
        <w:tc>
          <w:tcPr>
            <w:tcW w:type="dxa" w:w="2592"/>
          </w:tcPr>
          <w:p>
            <w:pPr>
              <w:jc w:val="left"/>
            </w:pPr>
            <w:r>
              <w:t>Financial calibration</w:t>
            </w:r>
          </w:p>
        </w:tc>
        <w:tc>
          <w:tcPr>
            <w:tcW w:type="dxa" w:w="2880"/>
          </w:tcPr>
          <w:p>
            <w:pPr>
              <w:jc w:val="left"/>
            </w:pPr>
            <w:r>
              <w:t>Yahoo Finance 5-yr fundamentals</w:t>
            </w:r>
          </w:p>
        </w:tc>
        <w:tc>
          <w:tcPr>
            <w:tcW w:type="dxa" w:w="4608"/>
          </w:tcPr>
          <w:p>
            <w:pPr>
              <w:jc w:val="left"/>
            </w:pPr>
            <w:r>
              <w:t>61 listed companies; 34 agent peer groups</w:t>
            </w:r>
          </w:p>
        </w:tc>
      </w:tr>
      <w:tr>
        <w:tc>
          <w:tcPr>
            <w:tcW w:type="dxa" w:w="2592"/>
          </w:tcPr>
          <w:p>
            <w:pPr>
              <w:jc w:val="left"/>
            </w:pPr>
            <w:r>
              <w:t>UK market</w:t>
            </w:r>
          </w:p>
        </w:tc>
        <w:tc>
          <w:tcPr>
            <w:tcW w:type="dxa" w:w="2880"/>
          </w:tcPr>
          <w:p>
            <w:pPr>
              <w:jc w:val="left"/>
            </w:pPr>
            <w:r>
              <w:t>SMMT 2024; UK DfT ZEV mandate</w:t>
            </w:r>
          </w:p>
        </w:tc>
        <w:tc>
          <w:tcPr>
            <w:tcW w:type="dxa" w:w="4608"/>
          </w:tcPr>
          <w:p>
            <w:pPr>
              <w:jc w:val="left"/>
            </w:pPr>
            <w:r>
              <w:t>315k BEV registrations; 28%/yr growth</w:t>
            </w:r>
          </w:p>
        </w:tc>
      </w:tr>
    </w:tbl>
    <w:p>
      <w:pPr>
        <w:pStyle w:val="Heading3"/>
        <w:jc w:val="left"/>
      </w:pPr>
      <w:r>
        <w:t>2.3.3  Submodels</w:t>
      </w:r>
    </w:p>
    <w:p>
      <w:r>
        <w:rPr>
          <w:b w:val="0"/>
          <w:i w:val="0"/>
        </w:rPr>
        <w:t>Detailed submodel equations are given in Sections 3 (SD) and 4 (ABM). The key submodels are:</w:t>
      </w:r>
    </w:p>
    <w:p>
      <w:pPr>
        <w:pStyle w:val="ListBullet"/>
        <w:ind w:left="360"/>
      </w:pPr>
      <w:r>
        <w:t>Leontief production constraint (CellManufacturerAgent, OEMAgent): production = capacity × min(input_fractions).</w:t>
      </w:r>
    </w:p>
    <w:p>
      <w:pPr>
        <w:pStyle w:val="ListBullet"/>
        <w:ind w:left="360"/>
      </w:pPr>
      <w:r>
        <w:t>Order-up-to policy (Tier1SupplierAgent): order = weekly_target + bullwhip_factor × max(0, target_inventory − inventory_position).</w:t>
      </w:r>
    </w:p>
    <w:p>
      <w:pPr>
        <w:pStyle w:val="ListBullet"/>
        <w:ind w:left="360"/>
      </w:pPr>
      <w:r>
        <w:t>First-order price adjustment (SDModel._step_prices): p(t+1) = p(t) + speed × (1/availability − p(t)).</w:t>
      </w:r>
    </w:p>
    <w:p>
      <w:pPr>
        <w:pStyle w:val="ListBullet"/>
        <w:ind w:left="360"/>
      </w:pPr>
      <w:r>
        <w:t>Chemistry substitution (SDModel._step_chemistry_mix): piecewise-linear LFP target mapped from cobalt price; first-order convergence.</w:t>
      </w:r>
    </w:p>
    <w:p>
      <w:pPr>
        <w:pStyle w:val="ListBullet"/>
        <w:ind w:left="360"/>
      </w:pPr>
      <w:r>
        <w:t>Capacity investment pipeline (SDModel._step_cell_capacity): investment triggers at 85% utilisation; 104-week first-order delay.</w:t>
      </w:r>
    </w:p>
    <w:p>
      <w:pPr>
        <w:pStyle w:val="ListBullet"/>
        <w:ind w:left="360"/>
      </w:pPr>
      <w:r>
        <w:t>Battery price index (SDModel._battery_price_signal): bill-of-materials weighted average of mineral price indices.</w:t>
      </w:r>
    </w:p>
    <w:p>
      <w:r>
        <w:br w:type="page"/>
      </w:r>
    </w:p>
    <w:p>
      <w:pPr>
        <w:pStyle w:val="Heading1"/>
        <w:jc w:val="left"/>
      </w:pPr>
      <w:r>
        <w:t>3.  System Dynamics (SD) Layer</w:t>
      </w:r>
    </w:p>
    <w:p>
      <w:r>
        <w:rPr>
          <w:b w:val="0"/>
          <w:i w:val="0"/>
        </w:rPr>
        <w:t>The SD layer provides aggregate industry-level stocks and feedback mechanisms that operate above individual firm decisions. It uses discrete-time Euler integration with dt = 1 week. The SD model is structured in four tiers mirroring the ABM agent tiers.</w:t>
      </w:r>
    </w:p>
    <w:p>
      <w:pPr>
        <w:pStyle w:val="Heading2"/>
        <w:jc w:val="left"/>
      </w:pPr>
      <w:r>
        <w:t>3.1  Architecture and Stocks</w:t>
      </w:r>
    </w:p>
    <w:p>
      <w:r>
        <w:rPr>
          <w:b w:val="0"/>
          <w:i w:val="0"/>
        </w:rPr>
        <w:t>Stocks are grouped by supply chain tier. All mineral stocks are measured in weeks of EV-industry baseline consumption, making shortage severity immediately interpretable regardless of the mineral's unit of measurement.</w:t>
      </w:r>
    </w:p>
    <w:p>
      <w:r>
        <w:rPr>
          <w:b/>
          <w:i w:val="0"/>
        </w:rPr>
        <w:t>Tier 1 — Raw &amp; Processed Materials: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584"/>
            <w:shd w:val="clear" w:color="auto" w:fill="D9E2F3"/>
          </w:tcPr>
          <w:p>
            <w:pPr>
              <w:jc w:val="center"/>
            </w:pPr>
            <w:r>
              <w:rPr>
                <w:b/>
              </w:rPr>
              <w:t>Stock</w:t>
            </w:r>
          </w:p>
        </w:tc>
        <w:tc>
          <w:tcPr>
            <w:tcW w:type="dxa" w:w="2016"/>
            <w:shd w:val="clear" w:color="auto" w:fill="D9E2F3"/>
          </w:tcPr>
          <w:p>
            <w:pPr>
              <w:jc w:val="center"/>
            </w:pPr>
            <w:r>
              <w:rPr>
                <w:b/>
              </w:rPr>
              <w:t>Unit</w:t>
            </w:r>
          </w:p>
        </w:tc>
        <w:tc>
          <w:tcPr>
            <w:tcW w:type="dxa" w:w="1584"/>
            <w:shd w:val="clear" w:color="auto" w:fill="D9E2F3"/>
          </w:tcPr>
          <w:p>
            <w:pPr>
              <w:jc w:val="center"/>
            </w:pPr>
            <w:r>
              <w:rPr>
                <w:b/>
              </w:rPr>
              <w:t>Target Level</w:t>
            </w:r>
          </w:p>
        </w:tc>
        <w:tc>
          <w:tcPr>
            <w:tcW w:type="dxa" w:w="4896"/>
            <w:shd w:val="clear" w:color="auto" w:fill="D9E2F3"/>
          </w:tcPr>
          <w:p>
            <w:pPr>
              <w:jc w:val="center"/>
            </w:pPr>
            <w:r>
              <w:rPr>
                <w:b/>
              </w:rPr>
              <w:t>Rationale for Target</w:t>
            </w:r>
          </w:p>
        </w:tc>
      </w:tr>
      <w:tr>
        <w:tc>
          <w:tcPr>
            <w:tcW w:type="dxa" w:w="1584"/>
          </w:tcPr>
          <w:p>
            <w:pPr>
              <w:jc w:val="left"/>
            </w:pPr>
            <w:r>
              <w:t>Lithium</w:t>
            </w:r>
          </w:p>
        </w:tc>
        <w:tc>
          <w:tcPr>
            <w:tcW w:type="dxa" w:w="2016"/>
          </w:tcPr>
          <w:p>
            <w:pPr>
              <w:jc w:val="left"/>
            </w:pPr>
            <w:r>
              <w:t>wks consumption</w:t>
            </w:r>
          </w:p>
        </w:tc>
        <w:tc>
          <w:tcPr>
            <w:tcW w:type="dxa" w:w="1584"/>
          </w:tcPr>
          <w:p>
            <w:pPr>
              <w:jc w:val="left"/>
            </w:pPr>
            <w:r>
              <w:t>4 weeks</w:t>
            </w:r>
          </w:p>
        </w:tc>
        <w:tc>
          <w:tcPr>
            <w:tcW w:type="dxa" w:w="4896"/>
          </w:tcPr>
          <w:p>
            <w:pPr>
              <w:jc w:val="left"/>
            </w:pPr>
            <w:r>
              <w:t>IEA CMMR 2023: typical industry buffer</w:t>
            </w:r>
          </w:p>
        </w:tc>
      </w:tr>
      <w:tr>
        <w:tc>
          <w:tcPr>
            <w:tcW w:type="dxa" w:w="1584"/>
          </w:tcPr>
          <w:p>
            <w:pPr>
              <w:jc w:val="left"/>
            </w:pPr>
            <w:r>
              <w:t>Cobalt</w:t>
            </w:r>
          </w:p>
        </w:tc>
        <w:tc>
          <w:tcPr>
            <w:tcW w:type="dxa" w:w="2016"/>
          </w:tcPr>
          <w:p>
            <w:pPr>
              <w:jc w:val="left"/>
            </w:pPr>
            <w:r>
              <w:t>wks consumption</w:t>
            </w:r>
          </w:p>
        </w:tc>
        <w:tc>
          <w:tcPr>
            <w:tcW w:type="dxa" w:w="1584"/>
          </w:tcPr>
          <w:p>
            <w:pPr>
              <w:jc w:val="left"/>
            </w:pPr>
            <w:r>
              <w:t>6 weeks</w:t>
            </w:r>
          </w:p>
        </w:tc>
        <w:tc>
          <w:tcPr>
            <w:tcW w:type="dxa" w:w="4896"/>
          </w:tcPr>
          <w:p>
            <w:pPr>
              <w:jc w:val="left"/>
            </w:pPr>
            <w:r>
              <w:t>DRC political risk; USGS MCS 2024</w:t>
            </w:r>
          </w:p>
        </w:tc>
      </w:tr>
      <w:tr>
        <w:tc>
          <w:tcPr>
            <w:tcW w:type="dxa" w:w="1584"/>
          </w:tcPr>
          <w:p>
            <w:pPr>
              <w:jc w:val="left"/>
            </w:pPr>
            <w:r>
              <w:t>Graphite</w:t>
            </w:r>
          </w:p>
        </w:tc>
        <w:tc>
          <w:tcPr>
            <w:tcW w:type="dxa" w:w="2016"/>
          </w:tcPr>
          <w:p>
            <w:pPr>
              <w:jc w:val="left"/>
            </w:pPr>
            <w:r>
              <w:t>wks consumption</w:t>
            </w:r>
          </w:p>
        </w:tc>
        <w:tc>
          <w:tcPr>
            <w:tcW w:type="dxa" w:w="1584"/>
          </w:tcPr>
          <w:p>
            <w:pPr>
              <w:jc w:val="left"/>
            </w:pPr>
            <w:r>
              <w:t>4 weeks</w:t>
            </w:r>
          </w:p>
        </w:tc>
        <w:tc>
          <w:tcPr>
            <w:tcW w:type="dxa" w:w="4896"/>
          </w:tcPr>
          <w:p>
            <w:pPr>
              <w:jc w:val="left"/>
            </w:pPr>
            <w:r>
              <w:t>Standard anode supply buffer</w:t>
            </w:r>
          </w:p>
        </w:tc>
      </w:tr>
      <w:tr>
        <w:tc>
          <w:tcPr>
            <w:tcW w:type="dxa" w:w="1584"/>
          </w:tcPr>
          <w:p>
            <w:pPr>
              <w:jc w:val="left"/>
            </w:pPr>
            <w:r>
              <w:t>REE</w:t>
            </w:r>
          </w:p>
        </w:tc>
        <w:tc>
          <w:tcPr>
            <w:tcW w:type="dxa" w:w="2016"/>
          </w:tcPr>
          <w:p>
            <w:pPr>
              <w:jc w:val="left"/>
            </w:pPr>
            <w:r>
              <w:t>wks consumption</w:t>
            </w:r>
          </w:p>
        </w:tc>
        <w:tc>
          <w:tcPr>
            <w:tcW w:type="dxa" w:w="1584"/>
          </w:tcPr>
          <w:p>
            <w:pPr>
              <w:jc w:val="left"/>
            </w:pPr>
            <w:r>
              <w:t>8 weeks</w:t>
            </w:r>
          </w:p>
        </w:tc>
        <w:tc>
          <w:tcPr>
            <w:tcW w:type="dxa" w:w="4896"/>
          </w:tcPr>
          <w:p>
            <w:pPr>
              <w:jc w:val="left"/>
            </w:pPr>
            <w:r>
              <w:t>Slow processing; China-dominant supply</w:t>
            </w:r>
          </w:p>
        </w:tc>
      </w:tr>
      <w:tr>
        <w:tc>
          <w:tcPr>
            <w:tcW w:type="dxa" w:w="1584"/>
          </w:tcPr>
          <w:p>
            <w:pPr>
              <w:jc w:val="left"/>
            </w:pPr>
            <w:r>
              <w:t>SiC wafer</w:t>
            </w:r>
          </w:p>
        </w:tc>
        <w:tc>
          <w:tcPr>
            <w:tcW w:type="dxa" w:w="2016"/>
          </w:tcPr>
          <w:p>
            <w:pPr>
              <w:jc w:val="left"/>
            </w:pPr>
            <w:r>
              <w:t>wks consumption</w:t>
            </w:r>
          </w:p>
        </w:tc>
        <w:tc>
          <w:tcPr>
            <w:tcW w:type="dxa" w:w="1584"/>
          </w:tcPr>
          <w:p>
            <w:pPr>
              <w:jc w:val="left"/>
            </w:pPr>
            <w:r>
              <w:t>12 weeks</w:t>
            </w:r>
          </w:p>
        </w:tc>
        <w:tc>
          <w:tcPr>
            <w:tcW w:type="dxa" w:w="4896"/>
          </w:tcPr>
          <w:p>
            <w:pPr>
              <w:jc w:val="left"/>
            </w:pPr>
            <w:r>
              <w:t>26-week lead time; strategic buffer needed</w:t>
            </w:r>
          </w:p>
        </w:tc>
      </w:tr>
    </w:tbl>
    <w:p/>
    <w:p>
      <w:r>
        <w:rPr>
          <w:b/>
          <w:i w:val="0"/>
        </w:rPr>
        <w:t>Tier 2 — Core Components: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28"/>
            <w:shd w:val="clear" w:color="auto" w:fill="D9E2F3"/>
          </w:tcPr>
          <w:p>
            <w:pPr>
              <w:jc w:val="center"/>
            </w:pPr>
            <w:r>
              <w:rPr>
                <w:b/>
              </w:rPr>
              <w:t>Stock</w:t>
            </w:r>
          </w:p>
        </w:tc>
        <w:tc>
          <w:tcPr>
            <w:tcW w:type="dxa" w:w="1584"/>
            <w:shd w:val="clear" w:color="auto" w:fill="D9E2F3"/>
          </w:tcPr>
          <w:p>
            <w:pPr>
              <w:jc w:val="center"/>
            </w:pPr>
            <w:r>
              <w:rPr>
                <w:b/>
              </w:rPr>
              <w:t>Unit</w:t>
            </w:r>
          </w:p>
        </w:tc>
        <w:tc>
          <w:tcPr>
            <w:tcW w:type="dxa" w:w="3744"/>
            <w:shd w:val="clear" w:color="auto" w:fill="D9E2F3"/>
          </w:tcPr>
          <w:p>
            <w:pPr>
              <w:jc w:val="center"/>
            </w:pPr>
            <w:r>
              <w:rPr>
                <w:b/>
              </w:rPr>
              <w:t>Target Level</w:t>
            </w:r>
          </w:p>
        </w:tc>
        <w:tc>
          <w:tcPr>
            <w:tcW w:type="dxa" w:w="3024"/>
            <w:shd w:val="clear" w:color="auto" w:fill="D9E2F3"/>
          </w:tcPr>
          <w:p>
            <w:pPr>
              <w:jc w:val="center"/>
            </w:pPr>
            <w:r>
              <w:rPr>
                <w:b/>
              </w:rPr>
              <w:t>Rationale</w:t>
            </w:r>
          </w:p>
        </w:tc>
      </w:tr>
      <w:tr>
        <w:tc>
          <w:tcPr>
            <w:tcW w:type="dxa" w:w="1728"/>
          </w:tcPr>
          <w:p>
            <w:pPr>
              <w:jc w:val="left"/>
            </w:pPr>
            <w:r>
              <w:t>Cells</w:t>
            </w:r>
          </w:p>
        </w:tc>
        <w:tc>
          <w:tcPr>
            <w:tcW w:type="dxa" w:w="1584"/>
          </w:tcPr>
          <w:p>
            <w:pPr>
              <w:jc w:val="left"/>
            </w:pPr>
            <w:r>
              <w:t>GWh</w:t>
            </w:r>
          </w:p>
        </w:tc>
        <w:tc>
          <w:tcPr>
            <w:tcW w:type="dxa" w:w="3744"/>
          </w:tcPr>
          <w:p>
            <w:pPr>
              <w:jc w:val="left"/>
            </w:pPr>
            <w:r>
              <w:t>4 weeks × 15.81 GWh/wk = 63.2 GWh</w:t>
            </w:r>
          </w:p>
        </w:tc>
        <w:tc>
          <w:tcPr>
            <w:tcW w:type="dxa" w:w="3024"/>
          </w:tcPr>
          <w:p>
            <w:pPr>
              <w:jc w:val="left"/>
            </w:pPr>
            <w:r>
              <w:t>Standard cell inventory</w:t>
            </w:r>
          </w:p>
        </w:tc>
      </w:tr>
      <w:tr>
        <w:tc>
          <w:tcPr>
            <w:tcW w:type="dxa" w:w="1728"/>
          </w:tcPr>
          <w:p>
            <w:pPr>
              <w:jc w:val="left"/>
            </w:pPr>
            <w:r>
              <w:t>Cell capacity</w:t>
            </w:r>
          </w:p>
        </w:tc>
        <w:tc>
          <w:tcPr>
            <w:tcW w:type="dxa" w:w="1584"/>
          </w:tcPr>
          <w:p>
            <w:pPr>
              <w:jc w:val="left"/>
            </w:pPr>
            <w:r>
              <w:t>GWh/yr</w:t>
            </w:r>
          </w:p>
        </w:tc>
        <w:tc>
          <w:tcPr>
            <w:tcW w:type="dxa" w:w="3744"/>
          </w:tcPr>
          <w:p>
            <w:pPr>
              <w:jc w:val="left"/>
            </w:pPr>
            <w:r>
              <w:t>1,500 GWh/yr (2023 baseline)</w:t>
            </w:r>
          </w:p>
        </w:tc>
        <w:tc>
          <w:tcPr>
            <w:tcW w:type="dxa" w:w="3024"/>
          </w:tcPr>
          <w:p>
            <w:pPr>
              <w:jc w:val="left"/>
            </w:pPr>
            <w:r>
              <w:t>BNEF nameplate estimate</w:t>
            </w:r>
          </w:p>
        </w:tc>
      </w:tr>
      <w:tr>
        <w:tc>
          <w:tcPr>
            <w:tcW w:type="dxa" w:w="1728"/>
          </w:tcPr>
          <w:p>
            <w:pPr>
              <w:jc w:val="left"/>
            </w:pPr>
            <w:r>
              <w:t>LFP share</w:t>
            </w:r>
          </w:p>
        </w:tc>
        <w:tc>
          <w:tcPr>
            <w:tcW w:type="dxa" w:w="1584"/>
          </w:tcPr>
          <w:p>
            <w:pPr>
              <w:jc w:val="left"/>
            </w:pPr>
            <w:r>
              <w:t>fraction</w:t>
            </w:r>
          </w:p>
        </w:tc>
        <w:tc>
          <w:tcPr>
            <w:tcW w:type="dxa" w:w="3744"/>
          </w:tcPr>
          <w:p>
            <w:pPr>
              <w:jc w:val="left"/>
            </w:pPr>
            <w:r>
              <w:t>0.403 (40.3%)</w:t>
            </w:r>
          </w:p>
        </w:tc>
        <w:tc>
          <w:tcPr>
            <w:tcW w:type="dxa" w:w="3024"/>
          </w:tcPr>
          <w:p>
            <w:pPr>
              <w:jc w:val="left"/>
            </w:pPr>
            <w:r>
              <w:t>IEA GEO 2024 chemistry mix</w:t>
            </w:r>
          </w:p>
        </w:tc>
      </w:tr>
    </w:tbl>
    <w:p/>
    <w:p>
      <w:r>
        <w:rPr>
          <w:b/>
          <w:i w:val="0"/>
        </w:rPr>
        <w:t>Tier 3 — Subsystems:</w:t>
      </w:r>
    </w:p>
    <w:tbl>
      <w:tblPr>
        <w:tblStyle w:val="TableGrid"/>
        <w:tblW w:type="auto" w:w="0"/>
        <w:jc w:val="center"/>
        <w:tblLook w:firstColumn="1" w:firstRow="1" w:lastColumn="0" w:lastRow="0" w:noHBand="0" w:noVBand="1" w:val="04A0"/>
      </w:tblPr>
      <w:tblGrid>
        <w:gridCol w:w="2880"/>
        <w:gridCol w:w="2880"/>
        <w:gridCol w:w="2880"/>
      </w:tblGrid>
      <w:tr>
        <w:tc>
          <w:tcPr>
            <w:tcW w:type="dxa" w:w="2016"/>
            <w:shd w:val="clear" w:color="auto" w:fill="D9E2F3"/>
          </w:tcPr>
          <w:p>
            <w:pPr>
              <w:jc w:val="center"/>
            </w:pPr>
            <w:r>
              <w:rPr>
                <w:b/>
              </w:rPr>
              <w:t>Stock</w:t>
            </w:r>
          </w:p>
        </w:tc>
        <w:tc>
          <w:tcPr>
            <w:tcW w:type="dxa" w:w="2016"/>
            <w:shd w:val="clear" w:color="auto" w:fill="D9E2F3"/>
          </w:tcPr>
          <w:p>
            <w:pPr>
              <w:jc w:val="center"/>
            </w:pPr>
            <w:r>
              <w:rPr>
                <w:b/>
              </w:rPr>
              <w:t>Target Level</w:t>
            </w:r>
          </w:p>
        </w:tc>
        <w:tc>
          <w:tcPr>
            <w:tcW w:type="dxa" w:w="6048"/>
            <w:shd w:val="clear" w:color="auto" w:fill="D9E2F3"/>
          </w:tcPr>
          <w:p>
            <w:pPr>
              <w:jc w:val="center"/>
            </w:pPr>
            <w:r>
              <w:rPr>
                <w:b/>
              </w:rPr>
              <w:t>Note</w:t>
            </w:r>
          </w:p>
        </w:tc>
      </w:tr>
      <w:tr>
        <w:tc>
          <w:tcPr>
            <w:tcW w:type="dxa" w:w="2016"/>
          </w:tcPr>
          <w:p>
            <w:pPr>
              <w:jc w:val="left"/>
            </w:pPr>
            <w:r>
              <w:t>Battery packs</w:t>
            </w:r>
          </w:p>
        </w:tc>
        <w:tc>
          <w:tcPr>
            <w:tcW w:type="dxa" w:w="2016"/>
          </w:tcPr>
          <w:p>
            <w:pPr>
              <w:jc w:val="left"/>
            </w:pPr>
            <w:r>
              <w:t>3 weeks</w:t>
            </w:r>
          </w:p>
        </w:tc>
        <w:tc>
          <w:tcPr>
            <w:tcW w:type="dxa" w:w="6048"/>
          </w:tcPr>
          <w:p>
            <w:pPr>
              <w:jc w:val="left"/>
            </w:pPr>
            <w:r>
              <w:t>Pack assembly</w:t>
            </w:r>
          </w:p>
        </w:tc>
      </w:tr>
      <w:tr>
        <w:tc>
          <w:tcPr>
            <w:tcW w:type="dxa" w:w="2016"/>
          </w:tcPr>
          <w:p>
            <w:pPr>
              <w:jc w:val="left"/>
            </w:pPr>
            <w:r>
              <w:t>Inverters</w:t>
            </w:r>
          </w:p>
        </w:tc>
        <w:tc>
          <w:tcPr>
            <w:tcW w:type="dxa" w:w="2016"/>
          </w:tcPr>
          <w:p>
            <w:pPr>
              <w:jc w:val="left"/>
            </w:pPr>
            <w:r>
              <w:t>8 weeks</w:t>
            </w:r>
          </w:p>
        </w:tc>
        <w:tc>
          <w:tcPr>
            <w:tcW w:type="dxa" w:w="6048"/>
          </w:tcPr>
          <w:p>
            <w:pPr>
              <w:jc w:val="left"/>
            </w:pPr>
            <w:r>
              <w:t>SiC tension forces large buffer</w:t>
            </w:r>
          </w:p>
        </w:tc>
      </w:tr>
      <w:tr>
        <w:tc>
          <w:tcPr>
            <w:tcW w:type="dxa" w:w="2016"/>
          </w:tcPr>
          <w:p>
            <w:pPr>
              <w:jc w:val="left"/>
            </w:pPr>
            <w:r>
              <w:t>Motors</w:t>
            </w:r>
          </w:p>
        </w:tc>
        <w:tc>
          <w:tcPr>
            <w:tcW w:type="dxa" w:w="2016"/>
          </w:tcPr>
          <w:p>
            <w:pPr>
              <w:jc w:val="left"/>
            </w:pPr>
            <w:r>
              <w:t>6 weeks</w:t>
            </w:r>
          </w:p>
        </w:tc>
        <w:tc>
          <w:tcPr>
            <w:tcW w:type="dxa" w:w="6048"/>
          </w:tcPr>
          <w:p>
            <w:pPr>
              <w:jc w:val="left"/>
            </w:pPr>
            <w:r>
              <w:t>REE magnet supply risk</w:t>
            </w:r>
          </w:p>
        </w:tc>
      </w:tr>
      <w:tr>
        <w:tc>
          <w:tcPr>
            <w:tcW w:type="dxa" w:w="2016"/>
          </w:tcPr>
          <w:p>
            <w:pPr>
              <w:jc w:val="left"/>
            </w:pPr>
            <w:r>
              <w:t>Wiring harness</w:t>
            </w:r>
          </w:p>
        </w:tc>
        <w:tc>
          <w:tcPr>
            <w:tcW w:type="dxa" w:w="2016"/>
          </w:tcPr>
          <w:p>
            <w:pPr>
              <w:jc w:val="left"/>
            </w:pPr>
            <w:r>
              <w:t>2 weeks</w:t>
            </w:r>
          </w:p>
        </w:tc>
        <w:tc>
          <w:tcPr>
            <w:tcW w:type="dxa" w:w="6048"/>
          </w:tcPr>
          <w:p>
            <w:pPr>
              <w:jc w:val="left"/>
            </w:pPr>
            <w:r>
              <w:t>JIT — the critical vulnerability</w:t>
            </w:r>
          </w:p>
        </w:tc>
      </w:tr>
    </w:tbl>
    <w:p/>
    <w:p>
      <w:r>
        <w:rPr>
          <w:b/>
          <w:i w:val="0"/>
        </w:rPr>
        <w:t>Tier 4 — OEM and Market: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872"/>
            <w:shd w:val="clear" w:color="auto" w:fill="D9E2F3"/>
          </w:tcPr>
          <w:p>
            <w:pPr>
              <w:jc w:val="center"/>
            </w:pPr>
            <w:r>
              <w:rPr>
                <w:b/>
              </w:rPr>
              <w:t>Stock</w:t>
            </w:r>
          </w:p>
        </w:tc>
        <w:tc>
          <w:tcPr>
            <w:tcW w:type="dxa" w:w="1872"/>
            <w:shd w:val="clear" w:color="auto" w:fill="D9E2F3"/>
          </w:tcPr>
          <w:p>
            <w:pPr>
              <w:jc w:val="center"/>
            </w:pPr>
            <w:r>
              <w:rPr>
                <w:b/>
              </w:rPr>
              <w:t>Unit</w:t>
            </w:r>
          </w:p>
        </w:tc>
        <w:tc>
          <w:tcPr>
            <w:tcW w:type="dxa" w:w="1728"/>
            <w:shd w:val="clear" w:color="auto" w:fill="D9E2F3"/>
          </w:tcPr>
          <w:p>
            <w:pPr>
              <w:jc w:val="center"/>
            </w:pPr>
            <w:r>
              <w:rPr>
                <w:b/>
              </w:rPr>
              <w:t>Initial Value</w:t>
            </w:r>
          </w:p>
        </w:tc>
        <w:tc>
          <w:tcPr>
            <w:tcW w:type="dxa" w:w="4608"/>
            <w:shd w:val="clear" w:color="auto" w:fill="D9E2F3"/>
          </w:tcPr>
          <w:p>
            <w:pPr>
              <w:jc w:val="center"/>
            </w:pPr>
            <w:r>
              <w:rPr>
                <w:b/>
              </w:rPr>
              <w:t>Description</w:t>
            </w:r>
          </w:p>
        </w:tc>
      </w:tr>
      <w:tr>
        <w:tc>
          <w:tcPr>
            <w:tcW w:type="dxa" w:w="1872"/>
          </w:tcPr>
          <w:p>
            <w:pPr>
              <w:jc w:val="left"/>
            </w:pPr>
            <w:r>
              <w:t>EV demand</w:t>
            </w:r>
          </w:p>
        </w:tc>
        <w:tc>
          <w:tcPr>
            <w:tcW w:type="dxa" w:w="1872"/>
          </w:tcPr>
          <w:p>
            <w:pPr>
              <w:jc w:val="left"/>
            </w:pPr>
            <w:r>
              <w:t>GWh/yr</w:t>
            </w:r>
          </w:p>
        </w:tc>
        <w:tc>
          <w:tcPr>
            <w:tcW w:type="dxa" w:w="1728"/>
          </w:tcPr>
          <w:p>
            <w:pPr>
              <w:jc w:val="left"/>
            </w:pPr>
            <w:r>
              <w:t>820</w:t>
            </w:r>
          </w:p>
        </w:tc>
        <w:tc>
          <w:tcPr>
            <w:tcW w:type="dxa" w:w="4608"/>
          </w:tcPr>
          <w:p>
            <w:pPr>
              <w:jc w:val="left"/>
            </w:pPr>
            <w:r>
              <w:t>Annualised EV battery demand (IEA GEO 2024)</w:t>
            </w:r>
          </w:p>
        </w:tc>
      </w:tr>
      <w:tr>
        <w:tc>
          <w:tcPr>
            <w:tcW w:type="dxa" w:w="1872"/>
          </w:tcPr>
          <w:p>
            <w:pPr>
              <w:jc w:val="left"/>
            </w:pPr>
            <w:r>
              <w:t>OEM backlog</w:t>
            </w:r>
          </w:p>
        </w:tc>
        <w:tc>
          <w:tcPr>
            <w:tcW w:type="dxa" w:w="1872"/>
          </w:tcPr>
          <w:p>
            <w:pPr>
              <w:jc w:val="left"/>
            </w:pPr>
            <w:r>
              <w:t>k vehicles</w:t>
            </w:r>
          </w:p>
        </w:tc>
        <w:tc>
          <w:tcPr>
            <w:tcW w:type="dxa" w:w="1728"/>
          </w:tcPr>
          <w:p>
            <w:pPr>
              <w:jc w:val="left"/>
            </w:pPr>
            <w:r>
              <w:t>0</w:t>
            </w:r>
          </w:p>
        </w:tc>
        <w:tc>
          <w:tcPr>
            <w:tcW w:type="dxa" w:w="4608"/>
          </w:tcPr>
          <w:p>
            <w:pPr>
              <w:jc w:val="left"/>
            </w:pPr>
            <w:r>
              <w:t>Cumulative unfulfilled vehicle orders</w:t>
            </w:r>
          </w:p>
        </w:tc>
      </w:tr>
      <w:tr>
        <w:tc>
          <w:tcPr>
            <w:tcW w:type="dxa" w:w="1872"/>
          </w:tcPr>
          <w:p>
            <w:pPr>
              <w:jc w:val="left"/>
            </w:pPr>
            <w:r>
              <w:t>Bullwhip index</w:t>
            </w:r>
          </w:p>
        </w:tc>
        <w:tc>
          <w:tcPr>
            <w:tcW w:type="dxa" w:w="1872"/>
          </w:tcPr>
          <w:p>
            <w:pPr>
              <w:jc w:val="left"/>
            </w:pPr>
            <w:r>
              <w:t>dimensionless</w:t>
            </w:r>
          </w:p>
        </w:tc>
        <w:tc>
          <w:tcPr>
            <w:tcW w:type="dxa" w:w="1728"/>
          </w:tcPr>
          <w:p>
            <w:pPr>
              <w:jc w:val="left"/>
            </w:pPr>
            <w:r>
              <w:t>1.0</w:t>
            </w:r>
          </w:p>
        </w:tc>
        <w:tc>
          <w:tcPr>
            <w:tcW w:type="dxa" w:w="4608"/>
          </w:tcPr>
          <w:p>
            <w:pPr>
              <w:jc w:val="left"/>
            </w:pPr>
            <w:r>
              <w:t>Smoothed Tier-3/OEM order amplification ratio</w:t>
            </w:r>
          </w:p>
        </w:tc>
      </w:tr>
    </w:tbl>
    <w:p>
      <w:pPr>
        <w:pStyle w:val="Heading2"/>
        <w:jc w:val="left"/>
      </w:pPr>
      <w:r>
        <w:t>3.2  Feedback Loops</w:t>
      </w:r>
    </w:p>
    <w:p>
      <w:r>
        <w:rPr>
          <w:b w:val="0"/>
          <w:i w:val="0"/>
        </w:rPr>
        <w:t>The SD model implements five feedback loops, each representing a distinct real-world market mechanism. Loops are labelled F1–F5.</w:t>
      </w:r>
    </w:p>
    <w:p>
      <w:pPr>
        <w:pStyle w:val="Heading3"/>
        <w:jc w:val="left"/>
      </w:pPr>
      <w:r>
        <w:t>F1 — Supply-Demand Price Formation Loop (Balancing)</w:t>
      </w:r>
    </w:p>
    <w:p>
      <w:r>
        <w:rPr>
          <w:b w:val="0"/>
          <w:i w:val="0"/>
        </w:rPr>
        <w:t>When a mineral stock falls below its target level, the implied shortage drives commodity prices upward, which in turn reduces downstream demand and encourages supply expansion — a classic balancing (negative) feedback loop.</w:t>
      </w:r>
    </w:p>
    <w:p>
      <w:r>
        <w:rPr>
          <w:b/>
          <w:i w:val="0"/>
        </w:rPr>
        <w:t>Causal chain:</w:t>
      </w:r>
    </w:p>
    <w:p>
      <w:r>
        <w:rPr>
          <w:b w:val="0"/>
          <w:i w:val="0"/>
        </w:rPr>
        <w:t xml:space="preserve">  Mineral stock ↓  →  availability fraction ↓  →  price ↑  →  cell cost ↑  →  battery price ↑  →  EV demand growth ↓  →  mineral outflow ↓  →  mineral stock stabilises</w:t>
      </w:r>
    </w:p>
    <w:p>
      <w:pPr>
        <w:ind w:left="720" w:right="720"/>
        <w:shd w:val="clear" w:color="auto" w:fill="F2F2F2"/>
      </w:pPr>
      <w:r>
        <w:rPr>
          <w:rFonts w:ascii="Courier New" w:hAnsi="Courier New"/>
          <w:sz w:val="20"/>
        </w:rPr>
        <w:t>p(t+1) = p(t) + α × [ (1 / availability(t)) − p(t) ]</w:t>
        <w:br/>
        <w:br/>
        <w:t>where:  α = PRICE_ADJ_SPEED = 0.05 per week</w:t>
        <w:br/>
        <w:t xml:space="preserve">        availability = stock / (target_weeks × baseline_throughput)</w:t>
        <w:br/>
        <w:t xml:space="preserve">        price floor = 0.10,  price ceiling = 6.00  (× 2023 baseline)</w:t>
      </w:r>
    </w:p>
    <w:p>
      <w:pPr>
        <w:pStyle w:val="Heading3"/>
        <w:jc w:val="left"/>
      </w:pPr>
      <w:r>
        <w:t>F2 — Chemistry Substitution Loop (Balancing)</w:t>
      </w:r>
    </w:p>
    <w:p>
      <w:r>
        <w:rPr>
          <w:b w:val="0"/>
          <w:i w:val="0"/>
        </w:rPr>
        <w:t>Rising cobalt prices create an economic incentive to shift battery chemistry from NMC (cobalt-intensive) toward LFP (cobalt-free). As LFP share increases, cobalt consumption falls, moderating the cobalt price — a balancing feedback loop.</w:t>
      </w:r>
    </w:p>
    <w:p>
      <w:r>
        <w:rPr>
          <w:b/>
          <w:i w:val="0"/>
        </w:rPr>
        <w:t>Causal chain:</w:t>
      </w:r>
    </w:p>
    <w:p>
      <w:r>
        <w:rPr>
          <w:b w:val="0"/>
          <w:i w:val="0"/>
        </w:rPr>
        <w:t xml:space="preserve">  Cobalt price ↑  →  LFP target share ↑  →  LFP adoption ↑  →  cobalt consumption ↓  →  cobalt stock recovers  →  cobalt price ↓</w:t>
      </w:r>
    </w:p>
    <w:p>
      <w:pPr>
        <w:ind w:left="720" w:right="720"/>
        <w:shd w:val="clear" w:color="auto" w:fill="F2F2F2"/>
      </w:pPr>
      <w:r>
        <w:rPr>
          <w:rFonts w:ascii="Courier New" w:hAnsi="Courier New"/>
          <w:sz w:val="20"/>
        </w:rPr>
        <w:t>LFP_target = 0.30 + t × (0.88 − 0.30)    where  t ∈ [0,1]</w:t>
        <w:br/>
        <w:br/>
        <w:t>t = clip( (cobalt_price − 0.80) / (1.50 − 0.80), 0, 1 )</w:t>
        <w:br/>
        <w:br/>
        <w:t>LFP_share(t+1) = LFP_share(t) + speed × (LFP_target − LFP_share(t))</w:t>
        <w:br/>
        <w:br/>
        <w:t>speed = 0.0045 (shifting toward LFP),  0.0015 (drifting back to NMC)</w:t>
        <w:br/>
        <w:t>LFP_share bounded to [0.15, 0.92]</w:t>
      </w:r>
    </w:p>
    <w:p>
      <w:pPr>
        <w:pStyle w:val="Heading3"/>
        <w:jc w:val="left"/>
      </w:pPr>
      <w:r>
        <w:t>F3 — Cell Capacity Investment Cycle (Reinforcing + Balancing)</w:t>
      </w:r>
    </w:p>
    <w:p>
      <w:r>
        <w:rPr>
          <w:b w:val="0"/>
          <w:i w:val="0"/>
        </w:rPr>
        <w:t>High capacity utilisation triggers investment in new gigafactory capacity. A 104-week construction pipeline represents the real-world ~2-year build time from groundbreaking to first production. Once online, new capacity reduces utilisation, damping the investment signal.</w:t>
      </w:r>
    </w:p>
    <w:p>
      <w:r>
        <w:rPr>
          <w:b/>
          <w:i w:val="0"/>
        </w:rPr>
        <w:t>Causal chain:</w:t>
      </w:r>
    </w:p>
    <w:p>
      <w:r>
        <w:rPr>
          <w:b w:val="0"/>
          <w:i w:val="0"/>
        </w:rPr>
        <w:t xml:space="preserve">  Cell demand ↑  →  utilisation ↑ (&gt; 85%)  →  investment initiated  →  capacity WIP ↑  →  [104-week delay]  →  capacity online ↑  →  utilisation ↓  →  investment slows</w:t>
      </w:r>
    </w:p>
    <w:p>
      <w:pPr>
        <w:ind w:left="720" w:right="720"/>
        <w:shd w:val="clear" w:color="auto" w:fill="F2F2F2"/>
      </w:pPr>
      <w:r>
        <w:rPr>
          <w:rFonts w:ascii="Courier New" w:hAnsi="Courier New"/>
          <w:sz w:val="20"/>
        </w:rPr>
        <w:t>excess_util = max(0,  utilisation − 0.85)</w:t>
        <w:br/>
        <w:t>investment_rate = capacity × (excess_util / 0.15) × 0.20 / 52   [GWh/wk]</w:t>
        <w:br/>
        <w:br/>
        <w:t>WIP(t+1) = WIP(t) + investment_rate − completion_rate</w:t>
        <w:br/>
        <w:t>completion_rate = WIP(t) / 104              [first-order delay]</w:t>
        <w:br/>
        <w:br/>
        <w:t>capacity(t+1) = capacity(t) + completion_rate − depreciation</w:t>
        <w:br/>
        <w:t>depreciation = capacity(t) / (52 × 15)      [15-year economic life]</w:t>
      </w:r>
    </w:p>
    <w:p>
      <w:pPr>
        <w:pStyle w:val="Heading3"/>
        <w:jc w:val="left"/>
      </w:pPr>
      <w:r>
        <w:t>F4 — Demand–Adoption Loop (Reinforcing + Balancing)</w:t>
      </w:r>
    </w:p>
    <w:p>
      <w:r>
        <w:rPr>
          <w:b w:val="0"/>
          <w:i w:val="0"/>
        </w:rPr>
        <w:t>EV demand grows at a policy-driven baseline rate (29%/yr, IEA GEO 2024). Battery price signals modulate only the growth increment, not the base level of demand, consistent with empirical evidence that short-run price elasticity of EV demand is low while long-run growth-rate elasticity is moderate. This prevents the price effect from compounding multiplicatively each week and causing demand collapse under prolonged price elevation.</w:t>
      </w:r>
    </w:p>
    <w:p>
      <w:r>
        <w:rPr>
          <w:b/>
          <w:i w:val="0"/>
        </w:rPr>
        <w:t>Causal chain:</w:t>
      </w:r>
    </w:p>
    <w:p>
      <w:r>
        <w:rPr>
          <w:b w:val="0"/>
          <w:i w:val="0"/>
        </w:rPr>
        <w:t xml:space="preserve">  Battery price ↑  →  growth rate modulated downward  →  EV demand grows more slowly  →  cell outflows slow  →  mineral stocks partially recover  →  battery price eases</w:t>
      </w:r>
    </w:p>
    <w:p>
      <w:pPr>
        <w:ind w:left="720" w:right="720"/>
        <w:shd w:val="clear" w:color="auto" w:fill="F2F2F2"/>
      </w:pPr>
      <w:r>
        <w:rPr>
          <w:rFonts w:ascii="Courier New" w:hAnsi="Courier New"/>
          <w:sz w:val="20"/>
        </w:rPr>
        <w:t>trend(t+1) = trend(t) × (1 + weekly_growth_rate)     [price-independent]</w:t>
        <w:br/>
        <w:br/>
        <w:t>price_level = 1.0 + (−0.30) × (price_signal − 1.0)  [clamped to 0.50–1.20]</w:t>
        <w:br/>
        <w:br/>
        <w:t>weekly_demand_gwh = trend(t+1) × price_level</w:t>
        <w:br/>
        <w:br/>
        <w:t>EV demand grows at:  +29%/yr baseline</w:t>
        <w:br/>
        <w:t xml:space="preserve">                     +33%/yr (China),  +35%/yr (USA),  +28%/yr (UK)</w:t>
      </w:r>
    </w:p>
    <w:p>
      <w:pPr>
        <w:pStyle w:val="Heading3"/>
        <w:jc w:val="left"/>
      </w:pPr>
      <w:r>
        <w:t>F5 — Bullwhip Amplification Tracking</w:t>
      </w:r>
    </w:p>
    <w:p>
      <w:r>
        <w:rPr>
          <w:b w:val="0"/>
          <w:i w:val="0"/>
        </w:rPr>
        <w:t>The bullwhip effect — upstream demand amplification — is tracked by comparing total Tier-1 component order rates against total component demand at the Tier-3/OEM boundary. A bullwhip_index &gt; 1 indicates that upstream order volumes exceed downstream consumption, a key indicator of supply-chain instability. The index is smoothed with an exponentially weighted moving average (EWMA) to reduce week-to-week noise.</w:t>
      </w:r>
    </w:p>
    <w:p>
      <w:pPr>
        <w:ind w:left="720" w:right="720"/>
        <w:shd w:val="clear" w:color="auto" w:fill="F2F2F2"/>
      </w:pPr>
      <w:r>
        <w:rPr>
          <w:rFonts w:ascii="Courier New" w:hAnsi="Courier New"/>
          <w:sz w:val="20"/>
        </w:rPr>
        <w:t>raw_bullwhip = total_component_order_rate / (4 × vehicle_demand)</w:t>
        <w:br/>
        <w:t xml:space="preserve">  (÷4 because 4 subsystem types per vehicle)</w:t>
        <w:br/>
        <w:br/>
        <w:t>bullwhip(t+1) = (1 − 0.10) × bullwhip(t)  +  0.10 × raw_bullwhip(t)</w:t>
        <w:br/>
        <w:t xml:space="preserve">  (EWMA with smoothing weight 0.10)</w:t>
      </w:r>
    </w:p>
    <w:p>
      <w:pPr>
        <w:pStyle w:val="Heading2"/>
        <w:jc w:val="left"/>
      </w:pPr>
      <w:r>
        <w:t>3.3  Causal Loop Diagram</w:t>
      </w:r>
    </w:p>
    <w:p>
      <w:r>
        <w:rPr>
          <w:b w:val="0"/>
          <w:i w:val="0"/>
        </w:rPr>
        <w:t>The Causal Loop Diagram (CLD) below describes all endogenous feedback relationships in the model. Arrows indicate causal influence; '+' means same direction (increase → increase), '−' means opposite direction (increase → decrease). Loop polarity: 'B' = balancing (negative feedback, stabilising), 'R' = reinforcing (positive feedback, amplifying).</w:t>
      </w:r>
    </w:p>
    <w:p/>
    <w:p>
      <w:r>
        <w:rPr>
          <w:b/>
          <w:i w:val="0"/>
        </w:rPr>
        <w:t>Top-level loop structure: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720"/>
            <w:shd w:val="clear" w:color="auto" w:fill="D9E2F3"/>
          </w:tcPr>
          <w:p>
            <w:pPr>
              <w:jc w:val="center"/>
            </w:pPr>
            <w:r>
              <w:rPr>
                <w:b/>
              </w:rPr>
              <w:t>Loop</w:t>
            </w:r>
          </w:p>
        </w:tc>
        <w:tc>
          <w:tcPr>
            <w:tcW w:type="dxa" w:w="1872"/>
            <w:shd w:val="clear" w:color="auto" w:fill="D9E2F3"/>
          </w:tcPr>
          <w:p>
            <w:pPr>
              <w:jc w:val="center"/>
            </w:pPr>
            <w:r>
              <w:rPr>
                <w:b/>
              </w:rPr>
              <w:t>Type</w:t>
            </w:r>
          </w:p>
        </w:tc>
        <w:tc>
          <w:tcPr>
            <w:tcW w:type="dxa" w:w="3456"/>
            <w:shd w:val="clear" w:color="auto" w:fill="D9E2F3"/>
          </w:tcPr>
          <w:p>
            <w:pPr>
              <w:jc w:val="center"/>
            </w:pPr>
            <w:r>
              <w:rPr>
                <w:b/>
              </w:rPr>
              <w:t>Key Variables</w:t>
            </w:r>
          </w:p>
        </w:tc>
        <w:tc>
          <w:tcPr>
            <w:tcW w:type="dxa" w:w="4032"/>
            <w:shd w:val="clear" w:color="auto" w:fill="D9E2F3"/>
          </w:tcPr>
          <w:p>
            <w:pPr>
              <w:jc w:val="center"/>
            </w:pPr>
            <w:r>
              <w:rPr>
                <w:b/>
              </w:rPr>
              <w:t>Mechanism</w:t>
            </w:r>
          </w:p>
        </w:tc>
      </w:tr>
      <w:tr>
        <w:tc>
          <w:tcPr>
            <w:tcW w:type="dxa" w:w="720"/>
          </w:tcPr>
          <w:p>
            <w:pPr>
              <w:jc w:val="left"/>
            </w:pPr>
            <w:r>
              <w:t>F1</w:t>
            </w:r>
          </w:p>
        </w:tc>
        <w:tc>
          <w:tcPr>
            <w:tcW w:type="dxa" w:w="1872"/>
          </w:tcPr>
          <w:p>
            <w:pPr>
              <w:jc w:val="left"/>
            </w:pPr>
            <w:r>
              <w:t>Balancing (B1)</w:t>
            </w:r>
          </w:p>
        </w:tc>
        <w:tc>
          <w:tcPr>
            <w:tcW w:type="dxa" w:w="3456"/>
          </w:tcPr>
          <w:p>
            <w:pPr>
              <w:jc w:val="left"/>
            </w:pPr>
            <w:r>
              <w:t>Mineral stock → Price → Demand → Mineral outflow</w:t>
            </w:r>
          </w:p>
        </w:tc>
        <w:tc>
          <w:tcPr>
            <w:tcW w:type="dxa" w:w="4032"/>
          </w:tcPr>
          <w:p>
            <w:pPr>
              <w:jc w:val="left"/>
            </w:pPr>
            <w:r>
              <w:t>Shortage drives prices up; higher prices slow demand growth, reducing outflows</w:t>
            </w:r>
          </w:p>
        </w:tc>
      </w:tr>
      <w:tr>
        <w:tc>
          <w:tcPr>
            <w:tcW w:type="dxa" w:w="720"/>
          </w:tcPr>
          <w:p>
            <w:pPr>
              <w:jc w:val="left"/>
            </w:pPr>
            <w:r>
              <w:t>F2</w:t>
            </w:r>
          </w:p>
        </w:tc>
        <w:tc>
          <w:tcPr>
            <w:tcW w:type="dxa" w:w="1872"/>
          </w:tcPr>
          <w:p>
            <w:pPr>
              <w:jc w:val="left"/>
            </w:pPr>
            <w:r>
              <w:t>Balancing (B2)</w:t>
            </w:r>
          </w:p>
        </w:tc>
        <w:tc>
          <w:tcPr>
            <w:tcW w:type="dxa" w:w="3456"/>
          </w:tcPr>
          <w:p>
            <w:pPr>
              <w:jc w:val="left"/>
            </w:pPr>
            <w:r>
              <w:t>Cobalt price → LFP share → Cobalt consumption → Cobalt stock</w:t>
            </w:r>
          </w:p>
        </w:tc>
        <w:tc>
          <w:tcPr>
            <w:tcW w:type="dxa" w:w="4032"/>
          </w:tcPr>
          <w:p>
            <w:pPr>
              <w:jc w:val="left"/>
            </w:pPr>
            <w:r>
              <w:t>Expensive cobalt accelerates LFP adoption; LFP uses no cobalt</w:t>
            </w:r>
          </w:p>
        </w:tc>
      </w:tr>
      <w:tr>
        <w:tc>
          <w:tcPr>
            <w:tcW w:type="dxa" w:w="720"/>
          </w:tcPr>
          <w:p>
            <w:pPr>
              <w:jc w:val="left"/>
            </w:pPr>
            <w:r>
              <w:t>F3a</w:t>
            </w:r>
          </w:p>
        </w:tc>
        <w:tc>
          <w:tcPr>
            <w:tcW w:type="dxa" w:w="1872"/>
          </w:tcPr>
          <w:p>
            <w:pPr>
              <w:jc w:val="left"/>
            </w:pPr>
            <w:r>
              <w:t>Reinforcing (R1) short-run</w:t>
            </w:r>
          </w:p>
        </w:tc>
        <w:tc>
          <w:tcPr>
            <w:tcW w:type="dxa" w:w="3456"/>
          </w:tcPr>
          <w:p>
            <w:pPr>
              <w:jc w:val="left"/>
            </w:pPr>
            <w:r>
              <w:t>Cell demand → Utilisation → Investment → Capacity WIP</w:t>
            </w:r>
          </w:p>
        </w:tc>
        <w:tc>
          <w:tcPr>
            <w:tcW w:type="dxa" w:w="4032"/>
          </w:tcPr>
          <w:p>
            <w:pPr>
              <w:jc w:val="left"/>
            </w:pPr>
            <w:r>
              <w:t>Higher demand drives capacity investment</w:t>
            </w:r>
          </w:p>
        </w:tc>
      </w:tr>
      <w:tr>
        <w:tc>
          <w:tcPr>
            <w:tcW w:type="dxa" w:w="720"/>
          </w:tcPr>
          <w:p>
            <w:pPr>
              <w:jc w:val="left"/>
            </w:pPr>
            <w:r>
              <w:t>F3b</w:t>
            </w:r>
          </w:p>
        </w:tc>
        <w:tc>
          <w:tcPr>
            <w:tcW w:type="dxa" w:w="1872"/>
          </w:tcPr>
          <w:p>
            <w:pPr>
              <w:jc w:val="left"/>
            </w:pPr>
            <w:r>
              <w:t>Balancing (B3) long-run</w:t>
            </w:r>
          </w:p>
        </w:tc>
        <w:tc>
          <w:tcPr>
            <w:tcW w:type="dxa" w:w="3456"/>
          </w:tcPr>
          <w:p>
            <w:pPr>
              <w:jc w:val="left"/>
            </w:pPr>
            <w:r>
              <w:t>Capacity WIP → Capacity online → Utilisation ↓</w:t>
            </w:r>
          </w:p>
        </w:tc>
        <w:tc>
          <w:tcPr>
            <w:tcW w:type="dxa" w:w="4032"/>
          </w:tcPr>
          <w:p>
            <w:pPr>
              <w:jc w:val="left"/>
            </w:pPr>
            <w:r>
              <w:t>New capacity comes online, reducing utilisation and investment signal</w:t>
            </w:r>
          </w:p>
        </w:tc>
      </w:tr>
      <w:tr>
        <w:tc>
          <w:tcPr>
            <w:tcW w:type="dxa" w:w="720"/>
          </w:tcPr>
          <w:p>
            <w:pPr>
              <w:jc w:val="left"/>
            </w:pPr>
            <w:r>
              <w:t>F4</w:t>
            </w:r>
          </w:p>
        </w:tc>
        <w:tc>
          <w:tcPr>
            <w:tcW w:type="dxa" w:w="1872"/>
          </w:tcPr>
          <w:p>
            <w:pPr>
              <w:jc w:val="left"/>
            </w:pPr>
            <w:r>
              <w:t>Balancing (B4)</w:t>
            </w:r>
          </w:p>
        </w:tc>
        <w:tc>
          <w:tcPr>
            <w:tcW w:type="dxa" w:w="3456"/>
          </w:tcPr>
          <w:p>
            <w:pPr>
              <w:jc w:val="left"/>
            </w:pPr>
            <w:r>
              <w:t>Battery price → EV demand growth rate</w:t>
            </w:r>
          </w:p>
        </w:tc>
        <w:tc>
          <w:tcPr>
            <w:tcW w:type="dxa" w:w="4032"/>
          </w:tcPr>
          <w:p>
            <w:pPr>
              <w:jc w:val="left"/>
            </w:pPr>
            <w:r>
              <w:t>Higher battery prices moderate EV adoption growth</w:t>
            </w:r>
          </w:p>
        </w:tc>
      </w:tr>
      <w:tr>
        <w:tc>
          <w:tcPr>
            <w:tcW w:type="dxa" w:w="720"/>
          </w:tcPr>
          <w:p>
            <w:pPr>
              <w:jc w:val="left"/>
            </w:pPr>
            <w:r>
              <w:t>F5</w:t>
            </w:r>
          </w:p>
        </w:tc>
        <w:tc>
          <w:tcPr>
            <w:tcW w:type="dxa" w:w="1872"/>
          </w:tcPr>
          <w:p>
            <w:pPr>
              <w:jc w:val="left"/>
            </w:pPr>
            <w:r>
              <w:t>Amplifying (R2)</w:t>
            </w:r>
          </w:p>
        </w:tc>
        <w:tc>
          <w:tcPr>
            <w:tcW w:type="dxa" w:w="3456"/>
          </w:tcPr>
          <w:p>
            <w:pPr>
              <w:jc w:val="left"/>
            </w:pPr>
            <w:r>
              <w:t>Shortfall → Order amplification → Bullwhip</w:t>
            </w:r>
          </w:p>
        </w:tc>
        <w:tc>
          <w:tcPr>
            <w:tcW w:type="dxa" w:w="4032"/>
          </w:tcPr>
          <w:p>
            <w:pPr>
              <w:jc w:val="left"/>
            </w:pPr>
            <w:r>
              <w:t>Inventory shortfalls trigger over-ordering; amplification measured vs. actual demand</w:t>
            </w:r>
          </w:p>
        </w:tc>
      </w:tr>
    </w:tbl>
    <w:p/>
    <w:p>
      <w:r>
        <w:rPr>
          <w:b/>
          <w:i w:val="0"/>
        </w:rPr>
        <w:t>Detailed causal chain notation:</w:t>
      </w:r>
    </w:p>
    <w:p>
      <w:r>
        <w:rPr>
          <w:b w:val="0"/>
          <w:i w:val="0"/>
        </w:rPr>
        <w:t>F1 — Price Formation Loop:</w:t>
      </w:r>
    </w:p>
    <w:p>
      <w:pPr>
        <w:ind w:left="720" w:right="720"/>
        <w:shd w:val="clear" w:color="auto" w:fill="F2F2F2"/>
      </w:pPr>
      <w:r>
        <w:rPr>
          <w:rFonts w:ascii="Courier New" w:hAnsi="Courier New"/>
          <w:sz w:val="20"/>
        </w:rPr>
        <w:t>[+] Mineral demand  →(+)→  Stock depletion</w:t>
        <w:br/>
        <w:t>[−] Stock depletion →(−)→  Availability fraction</w:t>
        <w:br/>
        <w:t>[+] Low availability→(+)→  Commodity price</w:t>
        <w:br/>
        <w:t>[+] High price      →(+)→  Battery pack price</w:t>
        <w:br/>
        <w:t>[−] High pack price →(−)→  EV demand growth</w:t>
        <w:br/>
        <w:t>[−] Lower demand    →(−)→  Mineral outflow</w:t>
        <w:br/>
        <w:t>[+] Lower outflow   →(+)→  Mineral stock recovery</w:t>
        <w:br/>
        <w:t>==&gt; LOOP POLARITY: BALANCING (B1)</w:t>
      </w:r>
    </w:p>
    <w:p/>
    <w:p>
      <w:r>
        <w:rPr>
          <w:b w:val="0"/>
          <w:i w:val="0"/>
        </w:rPr>
        <w:t>F2 — Chemistry Substitution Loop:</w:t>
      </w:r>
    </w:p>
    <w:p>
      <w:pPr>
        <w:ind w:left="720" w:right="720"/>
        <w:shd w:val="clear" w:color="auto" w:fill="F2F2F2"/>
      </w:pPr>
      <w:r>
        <w:rPr>
          <w:rFonts w:ascii="Courier New" w:hAnsi="Courier New"/>
          <w:sz w:val="20"/>
        </w:rPr>
        <w:t>[+] Cobalt price    →(+)→  LFP adoption incentive</w:t>
        <w:br/>
        <w:t>[+] LFP incentive   →(+)→  LFP share target</w:t>
        <w:br/>
        <w:t>[+] LFP target      →(+)→  Actual LFP share (via first-order convergence)</w:t>
        <w:br/>
        <w:t>[−] Higher LFP share→(−)→  Cobalt consumption</w:t>
        <w:br/>
        <w:t>[+] Less cobalt use →(+)→  Cobalt stock</w:t>
        <w:br/>
        <w:t>[−] Higher stock    →(−)→  Cobalt price</w:t>
        <w:br/>
        <w:t>==&gt; LOOP POLARITY: BALANCING (B2)</w:t>
      </w:r>
    </w:p>
    <w:p/>
    <w:p>
      <w:r>
        <w:rPr>
          <w:b w:val="0"/>
          <w:i w:val="0"/>
        </w:rPr>
        <w:t>F3 — Capacity Investment Cycle:</w:t>
      </w:r>
    </w:p>
    <w:p>
      <w:pPr>
        <w:ind w:left="720" w:right="720"/>
        <w:shd w:val="clear" w:color="auto" w:fill="F2F2F2"/>
      </w:pPr>
      <w:r>
        <w:rPr>
          <w:rFonts w:ascii="Courier New" w:hAnsi="Courier New"/>
          <w:sz w:val="20"/>
        </w:rPr>
        <w:t>[+] EV demand growth →(+)→  Cell production need</w:t>
        <w:br/>
        <w:t>[+] Production need  →(+)→  Capacity utilisation</w:t>
        <w:br/>
        <w:t>[+] High utilisation →(+)→  Investment trigger (&gt; 85%)</w:t>
        <w:br/>
        <w:t>[+] Investment       →(+)→  Capacity WIP</w:t>
        <w:br/>
        <w:t>[+] WIP (104-wk lag) →(+)→  New capacity</w:t>
        <w:br/>
        <w:t>[−] New capacity     →(−)→  Utilisation</w:t>
        <w:br/>
        <w:t>[−] Lower utilisation→(−)→  Investment rate</w:t>
        <w:br/>
        <w:t>==&gt; SHORT-RUN: REINFORCING (R1)  |  LONG-RUN: BALANCING (B3)</w:t>
      </w:r>
    </w:p>
    <w:p/>
    <w:p>
      <w:r>
        <w:rPr>
          <w:b/>
          <w:i w:val="0"/>
        </w:rPr>
        <w:t>Cross-loop interactions:</w:t>
      </w:r>
    </w:p>
    <w:p>
      <w:pPr>
        <w:pStyle w:val="ListBullet"/>
        <w:ind w:left="360"/>
      </w:pPr>
      <w:r>
        <w:t>F1 × F2: The cobalt price (F1 output) is the input trigger for chemistry substitution (F2), creating a direct coupling between the price loop and the chemistry loop. When cobalt price rises above 1.5× baseline, both loops operate simultaneously.</w:t>
      </w:r>
    </w:p>
    <w:p>
      <w:pPr>
        <w:pStyle w:val="ListBullet"/>
        <w:ind w:left="360"/>
      </w:pPr>
      <w:r>
        <w:t>F2 × F1: Increased LFP share (F2 output) reduces the cobalt weight in the battery price index (BOM calculation), slightly dampening the F1 price signal. This is an implicit cross-loop feedback.</w:t>
      </w:r>
    </w:p>
    <w:p>
      <w:pPr>
        <w:pStyle w:val="ListBullet"/>
        <w:ind w:left="360"/>
      </w:pPr>
      <w:r>
        <w:t>F3 × F4: Capacity investment (F3) increases cell supply, which reduces battery prices (F1) and therefore stimulates demand growth (F4), creating a reinforcing cross-loop between supply expansion and demand.</w:t>
      </w:r>
    </w:p>
    <w:p>
      <w:pPr>
        <w:pStyle w:val="Heading2"/>
        <w:jc w:val="left"/>
      </w:pPr>
      <w:r>
        <w:t>3.4  Stock–Flow Equations (Euler Integration)</w:t>
      </w:r>
    </w:p>
    <w:p>
      <w:r>
        <w:rPr>
          <w:b w:val="0"/>
          <w:i w:val="0"/>
        </w:rPr>
        <w:t>All stocks are updated by Euler integration with dt = 1 week. The following equations define the complete SD model dynamics.</w:t>
      </w:r>
    </w:p>
    <w:p>
      <w:r>
        <w:rPr>
          <w:b/>
          <w:i w:val="0"/>
        </w:rPr>
        <w:t>Mineral inventory stocks (Tier 1):</w:t>
      </w:r>
    </w:p>
    <w:p>
      <w:pPr>
        <w:ind w:left="720" w:right="720"/>
        <w:shd w:val="clear" w:color="auto" w:fill="F2F2F2"/>
      </w:pPr>
      <w:r>
        <w:rPr>
          <w:rFonts w:ascii="Courier New" w:hAnsi="Courier New"/>
          <w:sz w:val="20"/>
        </w:rPr>
        <w:t>S_mineral(t+1) = S_mineral(t) + InFlow(t) − OutFlow(t)</w:t>
        <w:br/>
        <w:br/>
        <w:t>InFlow_mineral(t) = ABM_supply_fraction × BASELINE_WK[mineral]</w:t>
        <w:br/>
        <w:t xml:space="preserve">                    × supply_expansion_scale(t)</w:t>
        <w:br/>
        <w:br/>
        <w:t>supply_expansion_scale(t+1) = supply_expansion_scale(t)</w:t>
        <w:br/>
        <w:t xml:space="preserve">                              × (1 + MINERAL_SUPPLY_GROWTH_WK[mineral])</w:t>
        <w:br/>
        <w:br/>
        <w:t>OutFlow_mineral(t) = ABM_consumption_fraction × BASELINE_WK[mineral]</w:t>
        <w:br/>
        <w:br/>
        <w:t>Stock cap: S_mineral ≤ 4 × target_weeks × BASELINE_WK[mineral]</w:t>
      </w:r>
    </w:p>
    <w:p>
      <w:r>
        <w:rPr>
          <w:b/>
          <w:i w:val="0"/>
        </w:rPr>
        <w:t>Commodity price dynamics (Tier 1):</w:t>
      </w:r>
    </w:p>
    <w:p>
      <w:pPr>
        <w:ind w:left="720" w:right="720"/>
        <w:shd w:val="clear" w:color="auto" w:fill="F2F2F2"/>
      </w:pPr>
      <w:r>
        <w:rPr>
          <w:rFonts w:ascii="Courier New" w:hAnsi="Courier New"/>
          <w:sz w:val="20"/>
        </w:rPr>
        <w:t>p_mineral(t+1) = p_mineral(t)</w:t>
        <w:br/>
        <w:t xml:space="preserve">               + PRICE_ADJ_SPEED × (1/availability(t) − p_mineral(t))</w:t>
        <w:br/>
        <w:br/>
        <w:t>availability(t) = S_mineral(t) / (target_weeks × BASELINE_WK[mineral])</w:t>
        <w:br/>
        <w:t>p_mineral bounded to [PRICE_FLOOR=0.10, PRICE_CEIL=6.00]</w:t>
      </w:r>
    </w:p>
    <w:p>
      <w:r>
        <w:rPr>
          <w:b/>
          <w:i w:val="0"/>
        </w:rPr>
        <w:t>Battery price signal (Tier 2 input):</w:t>
      </w:r>
    </w:p>
    <w:p>
      <w:pPr>
        <w:ind w:left="720" w:right="720"/>
        <w:shd w:val="clear" w:color="auto" w:fill="F2F2F2"/>
      </w:pPr>
      <w:r>
        <w:rPr>
          <w:rFonts w:ascii="Courier New" w:hAnsi="Courier New"/>
          <w:sz w:val="20"/>
        </w:rPr>
        <w:t>P_battery = [0.30 × p_Li  +  0.15×(1−LFP_share) × p_Co</w:t>
        <w:br/>
        <w:t xml:space="preserve">            + 0.15 × p_Graphite  +  0.05 × p_REE</w:t>
        <w:br/>
        <w:t xml:space="preserve">            + 0.10 × p_SiC  +  (0.25 + 0.15×LFP_share)] / total_weight</w:t>
        <w:br/>
        <w:br/>
        <w:t>Note: cobalt weight is blended by chemistry mix;</w:t>
        <w:br/>
        <w:t xml:space="preserve">      LFP cells have zero cobalt content.</w:t>
      </w:r>
    </w:p>
    <w:p>
      <w:r>
        <w:rPr>
          <w:b/>
          <w:i w:val="0"/>
        </w:rPr>
        <w:t>Cell inventory (Tier 2):</w:t>
      </w:r>
    </w:p>
    <w:p>
      <w:pPr>
        <w:ind w:left="720" w:right="720"/>
        <w:shd w:val="clear" w:color="auto" w:fill="F2F2F2"/>
      </w:pPr>
      <w:r>
        <w:rPr>
          <w:rFonts w:ascii="Courier New" w:hAnsi="Courier New"/>
          <w:sz w:val="20"/>
        </w:rPr>
        <w:t>S_cells(t+1) = S_cells(t) + cells_produced(t) − cells_consumed(t)</w:t>
        <w:br/>
        <w:br/>
        <w:t>cells_produced = Σ output_gwh across all CellManufacturerAgents</w:t>
        <w:br/>
        <w:t>cells_consumed = battery_pack_agent.output_k × kWh_per_vehicle / 1000</w:t>
      </w:r>
    </w:p>
    <w:p>
      <w:r>
        <w:rPr>
          <w:b/>
          <w:i w:val="0"/>
        </w:rPr>
        <w:t>Component stocks (Tier 3):</w:t>
      </w:r>
    </w:p>
    <w:p>
      <w:pPr>
        <w:ind w:left="720" w:right="720"/>
        <w:shd w:val="clear" w:color="auto" w:fill="F2F2F2"/>
      </w:pPr>
      <w:r>
        <w:rPr>
          <w:rFonts w:ascii="Courier New" w:hAnsi="Courier New"/>
          <w:sz w:val="20"/>
        </w:rPr>
        <w:t>For c ∈ {packs, inverters, motors, harness}:</w:t>
        <w:br/>
        <w:t>S_c(t+1) = S_c(t) + T1_output_c(t) − OEM_production(t)</w:t>
      </w:r>
    </w:p>
    <w:p>
      <w:r>
        <w:rPr>
          <w:b/>
          <w:i w:val="0"/>
        </w:rPr>
        <w:t>EV demand (Tier 4 — SD stock):</w:t>
      </w:r>
    </w:p>
    <w:p>
      <w:pPr>
        <w:ind w:left="720" w:right="720"/>
        <w:shd w:val="clear" w:color="auto" w:fill="F2F2F2"/>
      </w:pPr>
      <w:r>
        <w:rPr>
          <w:rFonts w:ascii="Courier New" w:hAnsi="Courier New"/>
          <w:sz w:val="20"/>
        </w:rPr>
        <w:t>growth_increment(t) = ev_demand(t) × EV_DEMAND_GROWTH_WK × price_effect(t)</w:t>
        <w:br/>
        <w:t>ev_demand(t+1) = ev_demand(t) + growth_increment(t)</w:t>
        <w:br/>
        <w:br/>
        <w:t>price_effect = clip(1.0 + (−0.30) × (P_battery − 1.0),  0.60, 1.20)</w:t>
        <w:br/>
        <w:br/>
        <w:t>Soft coupling (10% weekly adjustment) to ABM market-agent aggregate:</w:t>
        <w:br/>
        <w:t>ev_demand(t+1) = 0.90 × ev_demand(t+1) + 0.10 × (market_gwh_wk × 52)</w:t>
      </w:r>
    </w:p>
    <w:p>
      <w:pPr>
        <w:pStyle w:val="Heading2"/>
        <w:jc w:val="left"/>
      </w:pPr>
      <w:r>
        <w:t>3.5  SD Parameterisation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jc w:val="center"/>
            </w:pPr>
            <w:r>
              <w:rPr>
                <w:b/>
              </w:rPr>
              <w:t>Parameter</w:t>
            </w:r>
          </w:p>
        </w:tc>
        <w:tc>
          <w:tcPr>
            <w:tcW w:type="dxa" w:w="2016"/>
            <w:shd w:val="clear" w:color="auto" w:fill="D9E2F3"/>
          </w:tcPr>
          <w:p>
            <w:pPr>
              <w:jc w:val="center"/>
            </w:pPr>
            <w:r>
              <w:rPr>
                <w:b/>
              </w:rPr>
              <w:t>Value</w:t>
            </w:r>
          </w:p>
        </w:tc>
        <w:tc>
          <w:tcPr>
            <w:tcW w:type="dxa" w:w="5184"/>
            <w:shd w:val="clear" w:color="auto" w:fill="D9E2F3"/>
          </w:tcPr>
          <w:p>
            <w:pPr>
              <w:jc w:val="center"/>
            </w:pPr>
            <w:r>
              <w:rPr>
                <w:b/>
              </w:rPr>
              <w:t>Source</w:t>
            </w:r>
          </w:p>
        </w:tc>
      </w:tr>
      <w:tr>
        <w:tc>
          <w:tcPr>
            <w:tcW w:type="dxa" w:w="2880"/>
          </w:tcPr>
          <w:p>
            <w:pPr>
              <w:jc w:val="left"/>
            </w:pPr>
            <w:r>
              <w:t>PRICE_ADJ_SPEED</w:t>
            </w:r>
          </w:p>
        </w:tc>
        <w:tc>
          <w:tcPr>
            <w:tcW w:type="dxa" w:w="2016"/>
          </w:tcPr>
          <w:p>
            <w:pPr>
              <w:jc w:val="left"/>
            </w:pPr>
            <w:r>
              <w:t>0.05 /wk</w:t>
            </w:r>
          </w:p>
        </w:tc>
        <w:tc>
          <w:tcPr>
            <w:tcW w:type="dxa" w:w="5184"/>
          </w:tcPr>
          <w:p>
            <w:pPr>
              <w:jc w:val="left"/>
            </w:pPr>
            <w:r>
              <w:t>Calibrated to Li₂CO₃ price doubling in ~20 weeks (2021 surge); Benchmark Mineral Intelligence</w:t>
            </w:r>
          </w:p>
        </w:tc>
      </w:tr>
      <w:tr>
        <w:tc>
          <w:tcPr>
            <w:tcW w:type="dxa" w:w="2880"/>
          </w:tcPr>
          <w:p>
            <w:pPr>
              <w:jc w:val="left"/>
            </w:pPr>
            <w:r>
              <w:t>PRICE_FLOOR</w:t>
            </w:r>
          </w:p>
        </w:tc>
        <w:tc>
          <w:tcPr>
            <w:tcW w:type="dxa" w:w="2016"/>
          </w:tcPr>
          <w:p>
            <w:pPr>
              <w:jc w:val="left"/>
            </w:pPr>
            <w:r>
              <w:t>0.10</w:t>
            </w:r>
          </w:p>
        </w:tc>
        <w:tc>
          <w:tcPr>
            <w:tcW w:type="dxa" w:w="5184"/>
          </w:tcPr>
          <w:p>
            <w:pPr>
              <w:jc w:val="left"/>
            </w:pPr>
            <w:r>
              <w:t>Numerical stability; extreme supply glut</w:t>
            </w:r>
          </w:p>
        </w:tc>
      </w:tr>
      <w:tr>
        <w:tc>
          <w:tcPr>
            <w:tcW w:type="dxa" w:w="2880"/>
          </w:tcPr>
          <w:p>
            <w:pPr>
              <w:jc w:val="left"/>
            </w:pPr>
            <w:r>
              <w:t>PRICE_CEILING</w:t>
            </w:r>
          </w:p>
        </w:tc>
        <w:tc>
          <w:tcPr>
            <w:tcW w:type="dxa" w:w="2016"/>
          </w:tcPr>
          <w:p>
            <w:pPr>
              <w:jc w:val="left"/>
            </w:pPr>
            <w:r>
              <w:t>6.00 × baseline</w:t>
            </w:r>
          </w:p>
        </w:tc>
        <w:tc>
          <w:tcPr>
            <w:tcW w:type="dxa" w:w="5184"/>
          </w:tcPr>
          <w:p>
            <w:pPr>
              <w:jc w:val="left"/>
            </w:pPr>
            <w:r>
              <w:t>Extreme stress cap (DRC total shutdown scenario)</w:t>
            </w:r>
          </w:p>
        </w:tc>
      </w:tr>
      <w:tr>
        <w:tc>
          <w:tcPr>
            <w:tcW w:type="dxa" w:w="2880"/>
          </w:tcPr>
          <w:p>
            <w:pPr>
              <w:jc w:val="left"/>
            </w:pPr>
            <w:r>
              <w:t>CAPEX_TRIGGER_UTIL</w:t>
            </w:r>
          </w:p>
        </w:tc>
        <w:tc>
          <w:tcPr>
            <w:tcW w:type="dxa" w:w="2016"/>
          </w:tcPr>
          <w:p>
            <w:pPr>
              <w:jc w:val="left"/>
            </w:pPr>
            <w:r>
              <w:t>0.85</w:t>
            </w:r>
          </w:p>
        </w:tc>
        <w:tc>
          <w:tcPr>
            <w:tcW w:type="dxa" w:w="5184"/>
          </w:tcPr>
          <w:p>
            <w:pPr>
              <w:jc w:val="left"/>
            </w:pPr>
            <w:r>
              <w:t>Industry rule of thumb; BNEF Gigafactory Tracker 2023</w:t>
            </w:r>
          </w:p>
        </w:tc>
      </w:tr>
      <w:tr>
        <w:tc>
          <w:tcPr>
            <w:tcW w:type="dxa" w:w="2880"/>
          </w:tcPr>
          <w:p>
            <w:pPr>
              <w:jc w:val="left"/>
            </w:pPr>
            <w:r>
              <w:t>CELL_CAPACITY_BUILD_WK</w:t>
            </w:r>
          </w:p>
        </w:tc>
        <w:tc>
          <w:tcPr>
            <w:tcW w:type="dxa" w:w="2016"/>
          </w:tcPr>
          <w:p>
            <w:pPr>
              <w:jc w:val="left"/>
            </w:pPr>
            <w:r>
              <w:t>104 weeks</w:t>
            </w:r>
          </w:p>
        </w:tc>
        <w:tc>
          <w:tcPr>
            <w:tcW w:type="dxa" w:w="5184"/>
          </w:tcPr>
          <w:p>
            <w:pPr>
              <w:jc w:val="left"/>
            </w:pPr>
            <w:r>
              <w:t>BNEF 2023; Tesla/CATL/LG ES new plant build times</w:t>
            </w:r>
          </w:p>
        </w:tc>
      </w:tr>
      <w:tr>
        <w:tc>
          <w:tcPr>
            <w:tcW w:type="dxa" w:w="2880"/>
          </w:tcPr>
          <w:p>
            <w:pPr>
              <w:jc w:val="left"/>
            </w:pPr>
            <w:r>
              <w:t>CHEM_SHIFT_SPEED (upward)</w:t>
            </w:r>
          </w:p>
        </w:tc>
        <w:tc>
          <w:tcPr>
            <w:tcW w:type="dxa" w:w="2016"/>
          </w:tcPr>
          <w:p>
            <w:pPr>
              <w:jc w:val="left"/>
            </w:pPr>
            <w:r>
              <w:t>0.0045 /wk</w:t>
            </w:r>
          </w:p>
        </w:tc>
        <w:tc>
          <w:tcPr>
            <w:tcW w:type="dxa" w:w="5184"/>
          </w:tcPr>
          <w:p>
            <w:pPr>
              <w:jc w:val="left"/>
            </w:pPr>
            <w:r>
              <w:t>Full LFP shift over ~3 years; CATL 2022–24 transition rate</w:t>
            </w:r>
          </w:p>
        </w:tc>
      </w:tr>
      <w:tr>
        <w:tc>
          <w:tcPr>
            <w:tcW w:type="dxa" w:w="2880"/>
          </w:tcPr>
          <w:p>
            <w:pPr>
              <w:jc w:val="left"/>
            </w:pPr>
            <w:r>
              <w:t>CHEM_SHIFT_SPEED (downward)</w:t>
            </w:r>
          </w:p>
        </w:tc>
        <w:tc>
          <w:tcPr>
            <w:tcW w:type="dxa" w:w="2016"/>
          </w:tcPr>
          <w:p>
            <w:pPr>
              <w:jc w:val="left"/>
            </w:pPr>
            <w:r>
              <w:t>0.0015 /wk</w:t>
            </w:r>
          </w:p>
        </w:tc>
        <w:tc>
          <w:tcPr>
            <w:tcW w:type="dxa" w:w="5184"/>
          </w:tcPr>
          <w:p>
            <w:pPr>
              <w:jc w:val="left"/>
            </w:pPr>
            <w:r>
              <w:t>Slower: NMC lines not abandoned quickly</w:t>
            </w:r>
          </w:p>
        </w:tc>
      </w:tr>
      <w:tr>
        <w:tc>
          <w:tcPr>
            <w:tcW w:type="dxa" w:w="2880"/>
          </w:tcPr>
          <w:p>
            <w:pPr>
              <w:jc w:val="left"/>
            </w:pPr>
            <w:r>
              <w:t>COBALT_SWITCH_LOW</w:t>
            </w:r>
          </w:p>
        </w:tc>
        <w:tc>
          <w:tcPr>
            <w:tcW w:type="dxa" w:w="2016"/>
          </w:tcPr>
          <w:p>
            <w:pPr>
              <w:jc w:val="left"/>
            </w:pPr>
            <w:r>
              <w:t>0.80 × baseline</w:t>
            </w:r>
          </w:p>
        </w:tc>
        <w:tc>
          <w:tcPr>
            <w:tcW w:type="dxa" w:w="5184"/>
          </w:tcPr>
          <w:p>
            <w:pPr>
              <w:jc w:val="left"/>
            </w:pPr>
            <w:r>
              <w:t>Below: weak NMC→LFP pressure</w:t>
            </w:r>
          </w:p>
        </w:tc>
      </w:tr>
      <w:tr>
        <w:tc>
          <w:tcPr>
            <w:tcW w:type="dxa" w:w="2880"/>
          </w:tcPr>
          <w:p>
            <w:pPr>
              <w:jc w:val="left"/>
            </w:pPr>
            <w:r>
              <w:t>COBALT_SWITCH_HIGH</w:t>
            </w:r>
          </w:p>
        </w:tc>
        <w:tc>
          <w:tcPr>
            <w:tcW w:type="dxa" w:w="2016"/>
          </w:tcPr>
          <w:p>
            <w:pPr>
              <w:jc w:val="left"/>
            </w:pPr>
            <w:r>
              <w:t>1.50 × baseline</w:t>
            </w:r>
          </w:p>
        </w:tc>
        <w:tc>
          <w:tcPr>
            <w:tcW w:type="dxa" w:w="5184"/>
          </w:tcPr>
          <w:p>
            <w:pPr>
              <w:jc w:val="left"/>
            </w:pPr>
            <w:r>
              <w:t>Above: full LFP incentive activated</w:t>
            </w:r>
          </w:p>
        </w:tc>
      </w:tr>
      <w:tr>
        <w:tc>
          <w:tcPr>
            <w:tcW w:type="dxa" w:w="2880"/>
          </w:tcPr>
          <w:p>
            <w:pPr>
              <w:jc w:val="left"/>
            </w:pPr>
            <w:r>
              <w:t>LFP_SHARE_MIN</w:t>
            </w:r>
          </w:p>
        </w:tc>
        <w:tc>
          <w:tcPr>
            <w:tcW w:type="dxa" w:w="2016"/>
          </w:tcPr>
          <w:p>
            <w:pPr>
              <w:jc w:val="left"/>
            </w:pPr>
            <w:r>
              <w:t>0.15</w:t>
            </w:r>
          </w:p>
        </w:tc>
        <w:tc>
          <w:tcPr>
            <w:tcW w:type="dxa" w:w="5184"/>
          </w:tcPr>
          <w:p>
            <w:pPr>
              <w:jc w:val="left"/>
            </w:pPr>
            <w:r>
              <w:t>Technological floor (NCA/NMC premium segment)</w:t>
            </w:r>
          </w:p>
        </w:tc>
      </w:tr>
      <w:tr>
        <w:tc>
          <w:tcPr>
            <w:tcW w:type="dxa" w:w="2880"/>
          </w:tcPr>
          <w:p>
            <w:pPr>
              <w:jc w:val="left"/>
            </w:pPr>
            <w:r>
              <w:t>LFP_SHARE_MAX</w:t>
            </w:r>
          </w:p>
        </w:tc>
        <w:tc>
          <w:tcPr>
            <w:tcW w:type="dxa" w:w="2016"/>
          </w:tcPr>
          <w:p>
            <w:pPr>
              <w:jc w:val="left"/>
            </w:pPr>
            <w:r>
              <w:t>0.92</w:t>
            </w:r>
          </w:p>
        </w:tc>
        <w:tc>
          <w:tcPr>
            <w:tcW w:type="dxa" w:w="5184"/>
          </w:tcPr>
          <w:p>
            <w:pPr>
              <w:jc w:val="left"/>
            </w:pPr>
            <w:r>
              <w:t>Practical ceiling (some NMC for high energy density)</w:t>
            </w:r>
          </w:p>
        </w:tc>
      </w:tr>
      <w:tr>
        <w:tc>
          <w:tcPr>
            <w:tcW w:type="dxa" w:w="2880"/>
          </w:tcPr>
          <w:p>
            <w:pPr>
              <w:jc w:val="left"/>
            </w:pPr>
            <w:r>
              <w:t>EV_DEMAND_GROWTH_WK</w:t>
            </w:r>
          </w:p>
        </w:tc>
        <w:tc>
          <w:tcPr>
            <w:tcW w:type="dxa" w:w="2016"/>
          </w:tcPr>
          <w:p>
            <w:pPr>
              <w:jc w:val="left"/>
            </w:pPr>
            <w:r>
              <w:t>0.491% /wk</w:t>
            </w:r>
          </w:p>
        </w:tc>
        <w:tc>
          <w:tcPr>
            <w:tcW w:type="dxa" w:w="5184"/>
          </w:tcPr>
          <w:p>
            <w:pPr>
              <w:jc w:val="left"/>
            </w:pPr>
            <w:r>
              <w:t>29%/yr IEA GEO 2024 baseline projection</w:t>
            </w:r>
          </w:p>
        </w:tc>
      </w:tr>
      <w:tr>
        <w:tc>
          <w:tcPr>
            <w:tcW w:type="dxa" w:w="2880"/>
          </w:tcPr>
          <w:p>
            <w:pPr>
              <w:jc w:val="left"/>
            </w:pPr>
            <w:r>
              <w:t>BULLWHIP_SMOOTH</w:t>
            </w:r>
          </w:p>
        </w:tc>
        <w:tc>
          <w:tcPr>
            <w:tcW w:type="dxa" w:w="2016"/>
          </w:tcPr>
          <w:p>
            <w:pPr>
              <w:jc w:val="left"/>
            </w:pPr>
            <w:r>
              <w:t>0.10</w:t>
            </w:r>
          </w:p>
        </w:tc>
        <w:tc>
          <w:tcPr>
            <w:tcW w:type="dxa" w:w="5184"/>
          </w:tcPr>
          <w:p>
            <w:pPr>
              <w:jc w:val="left"/>
            </w:pPr>
            <w:r>
              <w:t>EWMA weight; standard in supply-chain literature</w:t>
            </w:r>
          </w:p>
        </w:tc>
      </w:tr>
      <w:tr>
        <w:tc>
          <w:tcPr>
            <w:tcW w:type="dxa" w:w="2880"/>
          </w:tcPr>
          <w:p>
            <w:pPr>
              <w:jc w:val="left"/>
            </w:pPr>
            <w:r>
              <w:t>BULLWHIP_FACTOR</w:t>
            </w:r>
          </w:p>
        </w:tc>
        <w:tc>
          <w:tcPr>
            <w:tcW w:type="dxa" w:w="2016"/>
          </w:tcPr>
          <w:p>
            <w:pPr>
              <w:jc w:val="left"/>
            </w:pPr>
            <w:r>
              <w:t>1.25</w:t>
            </w:r>
          </w:p>
        </w:tc>
        <w:tc>
          <w:tcPr>
            <w:tcW w:type="dxa" w:w="5184"/>
          </w:tcPr>
          <w:p>
            <w:pPr>
              <w:jc w:val="left"/>
            </w:pPr>
            <w:r>
              <w:t>Tier-1 over-ordering multiplier; Lee et al. 1997</w:t>
            </w:r>
          </w:p>
        </w:tc>
      </w:tr>
    </w:tbl>
    <w:p>
      <w:r>
        <w:br w:type="page"/>
      </w:r>
    </w:p>
    <w:p>
      <w:pPr>
        <w:pStyle w:val="Heading1"/>
        <w:jc w:val="left"/>
      </w:pPr>
      <w:r>
        <w:t>4.  Agent-Based Model (ABM) Layer</w:t>
      </w:r>
    </w:p>
    <w:p>
      <w:r>
        <w:rPr>
          <w:b w:val="0"/>
          <w:i w:val="0"/>
        </w:rPr>
        <w:t>The ABM layer models the heterogeneous behaviour of 40 individual firm-level agents across five types. Each agent carries a financial profile calibrated from listed-company data, which modifies four behavioural multipliers: recovery_multiplier, inventory_multiplier, growth_multiplier, and shock_absorption.</w:t>
      </w:r>
    </w:p>
    <w:p>
      <w:pPr>
        <w:pStyle w:val="Heading2"/>
        <w:jc w:val="left"/>
      </w:pPr>
      <w:r>
        <w:t>4.1  MineralSupplierAgent  (Tier 1 — 14 agents)</w:t>
      </w:r>
    </w:p>
    <w:p>
      <w:r>
        <w:rPr>
          <w:b w:val="0"/>
          <w:i w:val="0"/>
        </w:rPr>
        <w:t>Models a country-level mineral production source (not an individual mine). Fourteen agents cover five minerals across different geographies.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016"/>
            <w:shd w:val="clear" w:color="auto" w:fill="D9E2F3"/>
          </w:tcPr>
          <w:p>
            <w:pPr>
              <w:jc w:val="center"/>
            </w:pPr>
            <w:r>
              <w:rPr>
                <w:b/>
              </w:rPr>
              <w:t>Agent ID</w:t>
            </w:r>
          </w:p>
        </w:tc>
        <w:tc>
          <w:tcPr>
            <w:tcW w:type="dxa" w:w="1584"/>
            <w:shd w:val="clear" w:color="auto" w:fill="D9E2F3"/>
          </w:tcPr>
          <w:p>
            <w:pPr>
              <w:jc w:val="center"/>
            </w:pPr>
            <w:r>
              <w:rPr>
                <w:b/>
              </w:rPr>
              <w:t>Mineral</w:t>
            </w:r>
          </w:p>
        </w:tc>
        <w:tc>
          <w:tcPr>
            <w:tcW w:type="dxa" w:w="2016"/>
            <w:shd w:val="clear" w:color="auto" w:fill="D9E2F3"/>
          </w:tcPr>
          <w:p>
            <w:pPr>
              <w:jc w:val="center"/>
            </w:pPr>
            <w:r>
              <w:rPr>
                <w:b/>
              </w:rPr>
              <w:t>Country</w:t>
            </w:r>
          </w:p>
        </w:tc>
        <w:tc>
          <w:tcPr>
            <w:tcW w:type="dxa" w:w="1872"/>
            <w:shd w:val="clear" w:color="auto" w:fill="D9E2F3"/>
          </w:tcPr>
          <w:p>
            <w:pPr>
              <w:jc w:val="center"/>
            </w:pPr>
            <w:r>
              <w:rPr>
                <w:b/>
              </w:rPr>
              <w:t>Global Share</w:t>
            </w:r>
          </w:p>
        </w:tc>
      </w:tr>
      <w:tr>
        <w:tc>
          <w:tcPr>
            <w:tcW w:type="dxa" w:w="2016"/>
          </w:tcPr>
          <w:p>
            <w:pPr>
              <w:jc w:val="left"/>
            </w:pPr>
            <w:r>
              <w:t>lithium_aus</w:t>
            </w:r>
          </w:p>
        </w:tc>
        <w:tc>
          <w:tcPr>
            <w:tcW w:type="dxa" w:w="1584"/>
          </w:tcPr>
          <w:p>
            <w:pPr>
              <w:jc w:val="left"/>
            </w:pPr>
            <w:r>
              <w:t>Lithium</w:t>
            </w:r>
          </w:p>
        </w:tc>
        <w:tc>
          <w:tcPr>
            <w:tcW w:type="dxa" w:w="2016"/>
          </w:tcPr>
          <w:p>
            <w:pPr>
              <w:jc w:val="left"/>
            </w:pPr>
            <w:r>
              <w:t>Australia</w:t>
            </w:r>
          </w:p>
        </w:tc>
        <w:tc>
          <w:tcPr>
            <w:tcW w:type="dxa" w:w="1872"/>
          </w:tcPr>
          <w:p>
            <w:pPr>
              <w:jc w:val="left"/>
            </w:pPr>
            <w:r>
              <w:t>46%</w:t>
            </w:r>
          </w:p>
        </w:tc>
      </w:tr>
      <w:tr>
        <w:tc>
          <w:tcPr>
            <w:tcW w:type="dxa" w:w="2016"/>
          </w:tcPr>
          <w:p>
            <w:pPr>
              <w:jc w:val="left"/>
            </w:pPr>
            <w:r>
              <w:t>lithium_chl</w:t>
            </w:r>
          </w:p>
        </w:tc>
        <w:tc>
          <w:tcPr>
            <w:tcW w:type="dxa" w:w="1584"/>
          </w:tcPr>
          <w:p>
            <w:pPr>
              <w:jc w:val="left"/>
            </w:pPr>
            <w:r>
              <w:t>Lithium</w:t>
            </w:r>
          </w:p>
        </w:tc>
        <w:tc>
          <w:tcPr>
            <w:tcW w:type="dxa" w:w="2016"/>
          </w:tcPr>
          <w:p>
            <w:pPr>
              <w:jc w:val="left"/>
            </w:pPr>
            <w:r>
              <w:t>Chile</w:t>
            </w:r>
          </w:p>
        </w:tc>
        <w:tc>
          <w:tcPr>
            <w:tcW w:type="dxa" w:w="1872"/>
          </w:tcPr>
          <w:p>
            <w:pPr>
              <w:jc w:val="left"/>
            </w:pPr>
            <w:r>
              <w:t>30%</w:t>
            </w:r>
          </w:p>
        </w:tc>
      </w:tr>
      <w:tr>
        <w:tc>
          <w:tcPr>
            <w:tcW w:type="dxa" w:w="2016"/>
          </w:tcPr>
          <w:p>
            <w:pPr>
              <w:jc w:val="left"/>
            </w:pPr>
            <w:r>
              <w:t>lithium_chn</w:t>
            </w:r>
          </w:p>
        </w:tc>
        <w:tc>
          <w:tcPr>
            <w:tcW w:type="dxa" w:w="1584"/>
          </w:tcPr>
          <w:p>
            <w:pPr>
              <w:jc w:val="left"/>
            </w:pPr>
            <w:r>
              <w:t>Lithium</w:t>
            </w:r>
          </w:p>
        </w:tc>
        <w:tc>
          <w:tcPr>
            <w:tcW w:type="dxa" w:w="2016"/>
          </w:tcPr>
          <w:p>
            <w:pPr>
              <w:jc w:val="left"/>
            </w:pPr>
            <w:r>
              <w:t>China</w:t>
            </w:r>
          </w:p>
        </w:tc>
        <w:tc>
          <w:tcPr>
            <w:tcW w:type="dxa" w:w="1872"/>
          </w:tcPr>
          <w:p>
            <w:pPr>
              <w:jc w:val="left"/>
            </w:pPr>
            <w:r>
              <w:t>14%</w:t>
            </w:r>
          </w:p>
        </w:tc>
      </w:tr>
      <w:tr>
        <w:tc>
          <w:tcPr>
            <w:tcW w:type="dxa" w:w="2016"/>
          </w:tcPr>
          <w:p>
            <w:pPr>
              <w:jc w:val="left"/>
            </w:pPr>
            <w:r>
              <w:t>lithium_other</w:t>
            </w:r>
          </w:p>
        </w:tc>
        <w:tc>
          <w:tcPr>
            <w:tcW w:type="dxa" w:w="1584"/>
          </w:tcPr>
          <w:p>
            <w:pPr>
              <w:jc w:val="left"/>
            </w:pPr>
            <w:r>
              <w:t>Lithium</w:t>
            </w:r>
          </w:p>
        </w:tc>
        <w:tc>
          <w:tcPr>
            <w:tcW w:type="dxa" w:w="2016"/>
          </w:tcPr>
          <w:p>
            <w:pPr>
              <w:jc w:val="left"/>
            </w:pPr>
            <w:r>
              <w:t>Others</w:t>
            </w:r>
          </w:p>
        </w:tc>
        <w:tc>
          <w:tcPr>
            <w:tcW w:type="dxa" w:w="1872"/>
          </w:tcPr>
          <w:p>
            <w:pPr>
              <w:jc w:val="left"/>
            </w:pPr>
            <w:r>
              <w:t>10%</w:t>
            </w:r>
          </w:p>
        </w:tc>
      </w:tr>
      <w:tr>
        <w:tc>
          <w:tcPr>
            <w:tcW w:type="dxa" w:w="2016"/>
          </w:tcPr>
          <w:p>
            <w:pPr>
              <w:jc w:val="left"/>
            </w:pPr>
            <w:r>
              <w:t>cobalt_drc</w:t>
            </w:r>
          </w:p>
        </w:tc>
        <w:tc>
          <w:tcPr>
            <w:tcW w:type="dxa" w:w="1584"/>
          </w:tcPr>
          <w:p>
            <w:pPr>
              <w:jc w:val="left"/>
            </w:pPr>
            <w:r>
              <w:t>Cobalt</w:t>
            </w:r>
          </w:p>
        </w:tc>
        <w:tc>
          <w:tcPr>
            <w:tcW w:type="dxa" w:w="2016"/>
          </w:tcPr>
          <w:p>
            <w:pPr>
              <w:jc w:val="left"/>
            </w:pPr>
            <w:r>
              <w:t>DRC</w:t>
            </w:r>
          </w:p>
        </w:tc>
        <w:tc>
          <w:tcPr>
            <w:tcW w:type="dxa" w:w="1872"/>
          </w:tcPr>
          <w:p>
            <w:pPr>
              <w:jc w:val="left"/>
            </w:pPr>
            <w:r>
              <w:t>70%</w:t>
            </w:r>
          </w:p>
        </w:tc>
      </w:tr>
      <w:tr>
        <w:tc>
          <w:tcPr>
            <w:tcW w:type="dxa" w:w="2016"/>
          </w:tcPr>
          <w:p>
            <w:pPr>
              <w:jc w:val="left"/>
            </w:pPr>
            <w:r>
              <w:t>cobalt_other</w:t>
            </w:r>
          </w:p>
        </w:tc>
        <w:tc>
          <w:tcPr>
            <w:tcW w:type="dxa" w:w="1584"/>
          </w:tcPr>
          <w:p>
            <w:pPr>
              <w:jc w:val="left"/>
            </w:pPr>
            <w:r>
              <w:t>Cobalt</w:t>
            </w:r>
          </w:p>
        </w:tc>
        <w:tc>
          <w:tcPr>
            <w:tcW w:type="dxa" w:w="2016"/>
          </w:tcPr>
          <w:p>
            <w:pPr>
              <w:jc w:val="left"/>
            </w:pPr>
            <w:r>
              <w:t>Others</w:t>
            </w:r>
          </w:p>
        </w:tc>
        <w:tc>
          <w:tcPr>
            <w:tcW w:type="dxa" w:w="1872"/>
          </w:tcPr>
          <w:p>
            <w:pPr>
              <w:jc w:val="left"/>
            </w:pPr>
            <w:r>
              <w:t>30%</w:t>
            </w:r>
          </w:p>
        </w:tc>
      </w:tr>
      <w:tr>
        <w:tc>
          <w:tcPr>
            <w:tcW w:type="dxa" w:w="2016"/>
          </w:tcPr>
          <w:p>
            <w:pPr>
              <w:jc w:val="left"/>
            </w:pPr>
            <w:r>
              <w:t>graphite_chn</w:t>
            </w:r>
          </w:p>
        </w:tc>
        <w:tc>
          <w:tcPr>
            <w:tcW w:type="dxa" w:w="1584"/>
          </w:tcPr>
          <w:p>
            <w:pPr>
              <w:jc w:val="left"/>
            </w:pPr>
            <w:r>
              <w:t>Graphite</w:t>
            </w:r>
          </w:p>
        </w:tc>
        <w:tc>
          <w:tcPr>
            <w:tcW w:type="dxa" w:w="2016"/>
          </w:tcPr>
          <w:p>
            <w:pPr>
              <w:jc w:val="left"/>
            </w:pPr>
            <w:r>
              <w:t>China</w:t>
            </w:r>
          </w:p>
        </w:tc>
        <w:tc>
          <w:tcPr>
            <w:tcW w:type="dxa" w:w="1872"/>
          </w:tcPr>
          <w:p>
            <w:pPr>
              <w:jc w:val="left"/>
            </w:pPr>
            <w:r>
              <w:t>79%</w:t>
            </w:r>
          </w:p>
        </w:tc>
      </w:tr>
      <w:tr>
        <w:tc>
          <w:tcPr>
            <w:tcW w:type="dxa" w:w="2016"/>
          </w:tcPr>
          <w:p>
            <w:pPr>
              <w:jc w:val="left"/>
            </w:pPr>
            <w:r>
              <w:t>graphite_other</w:t>
            </w:r>
          </w:p>
        </w:tc>
        <w:tc>
          <w:tcPr>
            <w:tcW w:type="dxa" w:w="1584"/>
          </w:tcPr>
          <w:p>
            <w:pPr>
              <w:jc w:val="left"/>
            </w:pPr>
            <w:r>
              <w:t>Graphite</w:t>
            </w:r>
          </w:p>
        </w:tc>
        <w:tc>
          <w:tcPr>
            <w:tcW w:type="dxa" w:w="2016"/>
          </w:tcPr>
          <w:p>
            <w:pPr>
              <w:jc w:val="left"/>
            </w:pPr>
            <w:r>
              <w:t>Others</w:t>
            </w:r>
          </w:p>
        </w:tc>
        <w:tc>
          <w:tcPr>
            <w:tcW w:type="dxa" w:w="1872"/>
          </w:tcPr>
          <w:p>
            <w:pPr>
              <w:jc w:val="left"/>
            </w:pPr>
            <w:r>
              <w:t>21%</w:t>
            </w:r>
          </w:p>
        </w:tc>
      </w:tr>
      <w:tr>
        <w:tc>
          <w:tcPr>
            <w:tcW w:type="dxa" w:w="2016"/>
          </w:tcPr>
          <w:p>
            <w:pPr>
              <w:jc w:val="left"/>
            </w:pPr>
            <w:r>
              <w:t>ree_chn</w:t>
            </w:r>
          </w:p>
        </w:tc>
        <w:tc>
          <w:tcPr>
            <w:tcW w:type="dxa" w:w="1584"/>
          </w:tcPr>
          <w:p>
            <w:pPr>
              <w:jc w:val="left"/>
            </w:pPr>
            <w:r>
              <w:t>REE</w:t>
            </w:r>
          </w:p>
        </w:tc>
        <w:tc>
          <w:tcPr>
            <w:tcW w:type="dxa" w:w="2016"/>
          </w:tcPr>
          <w:p>
            <w:pPr>
              <w:jc w:val="left"/>
            </w:pPr>
            <w:r>
              <w:t>China</w:t>
            </w:r>
          </w:p>
        </w:tc>
        <w:tc>
          <w:tcPr>
            <w:tcW w:type="dxa" w:w="1872"/>
          </w:tcPr>
          <w:p>
            <w:pPr>
              <w:jc w:val="left"/>
            </w:pPr>
            <w:r>
              <w:t>85%</w:t>
            </w:r>
          </w:p>
        </w:tc>
      </w:tr>
      <w:tr>
        <w:tc>
          <w:tcPr>
            <w:tcW w:type="dxa" w:w="2016"/>
          </w:tcPr>
          <w:p>
            <w:pPr>
              <w:jc w:val="left"/>
            </w:pPr>
            <w:r>
              <w:t>ree_other</w:t>
            </w:r>
          </w:p>
        </w:tc>
        <w:tc>
          <w:tcPr>
            <w:tcW w:type="dxa" w:w="1584"/>
          </w:tcPr>
          <w:p>
            <w:pPr>
              <w:jc w:val="left"/>
            </w:pPr>
            <w:r>
              <w:t>REE</w:t>
            </w:r>
          </w:p>
        </w:tc>
        <w:tc>
          <w:tcPr>
            <w:tcW w:type="dxa" w:w="2016"/>
          </w:tcPr>
          <w:p>
            <w:pPr>
              <w:jc w:val="left"/>
            </w:pPr>
            <w:r>
              <w:t>Others</w:t>
            </w:r>
          </w:p>
        </w:tc>
        <w:tc>
          <w:tcPr>
            <w:tcW w:type="dxa" w:w="1872"/>
          </w:tcPr>
          <w:p>
            <w:pPr>
              <w:jc w:val="left"/>
            </w:pPr>
            <w:r>
              <w:t>15%</w:t>
            </w:r>
          </w:p>
        </w:tc>
      </w:tr>
      <w:tr>
        <w:tc>
          <w:tcPr>
            <w:tcW w:type="dxa" w:w="2016"/>
          </w:tcPr>
          <w:p>
            <w:pPr>
              <w:jc w:val="left"/>
            </w:pPr>
            <w:r>
              <w:t>sic_wolfspeed</w:t>
            </w:r>
          </w:p>
        </w:tc>
        <w:tc>
          <w:tcPr>
            <w:tcW w:type="dxa" w:w="1584"/>
          </w:tcPr>
          <w:p>
            <w:pPr>
              <w:jc w:val="left"/>
            </w:pPr>
            <w:r>
              <w:t>SiC</w:t>
            </w:r>
          </w:p>
        </w:tc>
        <w:tc>
          <w:tcPr>
            <w:tcW w:type="dxa" w:w="2016"/>
          </w:tcPr>
          <w:p>
            <w:pPr>
              <w:jc w:val="left"/>
            </w:pPr>
            <w:r>
              <w:t>USA</w:t>
            </w:r>
          </w:p>
        </w:tc>
        <w:tc>
          <w:tcPr>
            <w:tcW w:type="dxa" w:w="1872"/>
          </w:tcPr>
          <w:p>
            <w:pPr>
              <w:jc w:val="left"/>
            </w:pPr>
            <w:r>
              <w:t>30%</w:t>
            </w:r>
          </w:p>
        </w:tc>
      </w:tr>
      <w:tr>
        <w:tc>
          <w:tcPr>
            <w:tcW w:type="dxa" w:w="2016"/>
          </w:tcPr>
          <w:p>
            <w:pPr>
              <w:jc w:val="left"/>
            </w:pPr>
            <w:r>
              <w:t>sic_coherent</w:t>
            </w:r>
          </w:p>
        </w:tc>
        <w:tc>
          <w:tcPr>
            <w:tcW w:type="dxa" w:w="1584"/>
          </w:tcPr>
          <w:p>
            <w:pPr>
              <w:jc w:val="left"/>
            </w:pPr>
            <w:r>
              <w:t>SiC</w:t>
            </w:r>
          </w:p>
        </w:tc>
        <w:tc>
          <w:tcPr>
            <w:tcW w:type="dxa" w:w="2016"/>
          </w:tcPr>
          <w:p>
            <w:pPr>
              <w:jc w:val="left"/>
            </w:pPr>
            <w:r>
              <w:t>USA</w:t>
            </w:r>
          </w:p>
        </w:tc>
        <w:tc>
          <w:tcPr>
            <w:tcW w:type="dxa" w:w="1872"/>
          </w:tcPr>
          <w:p>
            <w:pPr>
              <w:jc w:val="left"/>
            </w:pPr>
            <w:r>
              <w:t>20%</w:t>
            </w:r>
          </w:p>
        </w:tc>
      </w:tr>
      <w:tr>
        <w:tc>
          <w:tcPr>
            <w:tcW w:type="dxa" w:w="2016"/>
          </w:tcPr>
          <w:p>
            <w:pPr>
              <w:jc w:val="left"/>
            </w:pPr>
            <w:r>
              <w:t>sic_china</w:t>
            </w:r>
          </w:p>
        </w:tc>
        <w:tc>
          <w:tcPr>
            <w:tcW w:type="dxa" w:w="1584"/>
          </w:tcPr>
          <w:p>
            <w:pPr>
              <w:jc w:val="left"/>
            </w:pPr>
            <w:r>
              <w:t>SiC</w:t>
            </w:r>
          </w:p>
        </w:tc>
        <w:tc>
          <w:tcPr>
            <w:tcW w:type="dxa" w:w="2016"/>
          </w:tcPr>
          <w:p>
            <w:pPr>
              <w:jc w:val="left"/>
            </w:pPr>
            <w:r>
              <w:t>China</w:t>
            </w:r>
          </w:p>
        </w:tc>
        <w:tc>
          <w:tcPr>
            <w:tcW w:type="dxa" w:w="1872"/>
          </w:tcPr>
          <w:p>
            <w:pPr>
              <w:jc w:val="left"/>
            </w:pPr>
            <w:r>
              <w:t>18%</w:t>
            </w:r>
          </w:p>
        </w:tc>
      </w:tr>
      <w:tr>
        <w:tc>
          <w:tcPr>
            <w:tcW w:type="dxa" w:w="2016"/>
          </w:tcPr>
          <w:p>
            <w:pPr>
              <w:jc w:val="left"/>
            </w:pPr>
            <w:r>
              <w:t>sic_other</w:t>
            </w:r>
          </w:p>
        </w:tc>
        <w:tc>
          <w:tcPr>
            <w:tcW w:type="dxa" w:w="1584"/>
          </w:tcPr>
          <w:p>
            <w:pPr>
              <w:jc w:val="left"/>
            </w:pPr>
            <w:r>
              <w:t>SiC</w:t>
            </w:r>
          </w:p>
        </w:tc>
        <w:tc>
          <w:tcPr>
            <w:tcW w:type="dxa" w:w="2016"/>
          </w:tcPr>
          <w:p>
            <w:pPr>
              <w:jc w:val="left"/>
            </w:pPr>
            <w:r>
              <w:t>EU/Others</w:t>
            </w:r>
          </w:p>
        </w:tc>
        <w:tc>
          <w:tcPr>
            <w:tcW w:type="dxa" w:w="1872"/>
          </w:tcPr>
          <w:p>
            <w:pPr>
              <w:jc w:val="left"/>
            </w:pPr>
            <w:r>
              <w:t>32%</w:t>
            </w:r>
          </w:p>
        </w:tc>
      </w:tr>
    </w:tbl>
    <w:p/>
    <w:p>
      <w:r>
        <w:rPr>
          <w:b/>
          <w:i w:val="0"/>
        </w:rPr>
        <w:t>Decision rule:</w:t>
      </w:r>
    </w:p>
    <w:p>
      <w:pPr>
        <w:ind w:left="720" w:right="720"/>
        <w:shd w:val="clear" w:color="auto" w:fill="F2F2F2"/>
      </w:pPr>
      <w:r>
        <w:rPr>
          <w:rFonts w:ascii="Courier New" w:hAnsi="Courier New"/>
          <w:sz w:val="20"/>
        </w:rPr>
        <w:t>output_fraction(t) = shock_multiplier(t)</w:t>
        <w:br/>
        <w:br/>
        <w:t>If shocked:</w:t>
        <w:br/>
        <w:t xml:space="preserve">  shock_multiplier = max(0,  1 − effective_severity)</w:t>
        <w:br/>
        <w:t xml:space="preserve">  effective_severity = shock_severity × (1 − shock_absorption)</w:t>
        <w:br/>
        <w:br/>
        <w:t>Recovery (when shock resolved):</w:t>
        <w:br/>
        <w:t xml:space="preserve">  shock_multiplier(t+1) = min(1.0,</w:t>
        <w:br/>
        <w:t xml:space="preserve">      shock_multiplier(t) + recovery_rate_wk × recovery_multiplier)</w:t>
        <w:br/>
        <w:br/>
        <w:t>SD inflow contribution:</w:t>
        <w:br/>
        <w:t xml:space="preserve">  weekly_supply_contribution = global_share × output_fraction</w:t>
      </w:r>
    </w:p>
    <w:p>
      <w:pPr>
        <w:pStyle w:val="Heading2"/>
        <w:jc w:val="left"/>
      </w:pPr>
      <w:r>
        <w:t>4.2  CellManufacturerAgent  (Tier 2 — 9 agents)</w:t>
      </w:r>
    </w:p>
    <w:p>
      <w:r>
        <w:rPr>
          <w:b w:val="0"/>
          <w:i w:val="0"/>
        </w:rPr>
        <w:t>Models a battery cell manufacturer. The nine agents cover the major global cell makers plus an aggregate 'others' group.</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160"/>
            <w:shd w:val="clear" w:color="auto" w:fill="D9E2F3"/>
          </w:tcPr>
          <w:p>
            <w:pPr>
              <w:jc w:val="center"/>
            </w:pPr>
            <w:r>
              <w:rPr>
                <w:b/>
              </w:rPr>
              <w:t>Agent</w:t>
            </w:r>
          </w:p>
        </w:tc>
        <w:tc>
          <w:tcPr>
            <w:tcW w:type="dxa" w:w="1728"/>
            <w:shd w:val="clear" w:color="auto" w:fill="D9E2F3"/>
          </w:tcPr>
          <w:p>
            <w:pPr>
              <w:jc w:val="center"/>
            </w:pPr>
            <w:r>
              <w:rPr>
                <w:b/>
              </w:rPr>
              <w:t>Country</w:t>
            </w:r>
          </w:p>
        </w:tc>
        <w:tc>
          <w:tcPr>
            <w:tcW w:type="dxa" w:w="1584"/>
            <w:shd w:val="clear" w:color="auto" w:fill="D9E2F3"/>
          </w:tcPr>
          <w:p>
            <w:pPr>
              <w:jc w:val="center"/>
            </w:pPr>
            <w:r>
              <w:rPr>
                <w:b/>
              </w:rPr>
              <w:t>Market Share</w:t>
            </w:r>
          </w:p>
        </w:tc>
        <w:tc>
          <w:tcPr>
            <w:tcW w:type="dxa" w:w="2160"/>
            <w:shd w:val="clear" w:color="auto" w:fill="D9E2F3"/>
          </w:tcPr>
          <w:p>
            <w:pPr>
              <w:jc w:val="center"/>
            </w:pPr>
            <w:r>
              <w:rPr>
                <w:b/>
              </w:rPr>
              <w:t>Capacity (GWh/yr)</w:t>
            </w:r>
          </w:p>
        </w:tc>
        <w:tc>
          <w:tcPr>
            <w:tcW w:type="dxa" w:w="864"/>
            <w:shd w:val="clear" w:color="auto" w:fill="D9E2F3"/>
          </w:tcPr>
          <w:p>
            <w:pPr>
              <w:jc w:val="center"/>
            </w:pPr>
            <w:r>
              <w:rPr>
                <w:b/>
              </w:rPr>
              <w:t>LFP%</w:t>
            </w:r>
          </w:p>
        </w:tc>
        <w:tc>
          <w:tcPr>
            <w:tcW w:type="dxa" w:w="864"/>
            <w:shd w:val="clear" w:color="auto" w:fill="D9E2F3"/>
          </w:tcPr>
          <w:p>
            <w:pPr>
              <w:jc w:val="center"/>
            </w:pPr>
            <w:r>
              <w:rPr>
                <w:b/>
              </w:rPr>
              <w:t>NMC%</w:t>
            </w:r>
          </w:p>
        </w:tc>
      </w:tr>
      <w:tr>
        <w:tc>
          <w:tcPr>
            <w:tcW w:type="dxa" w:w="2160"/>
          </w:tcPr>
          <w:p>
            <w:pPr>
              <w:jc w:val="left"/>
            </w:pPr>
            <w:r>
              <w:t>CATL</w:t>
            </w:r>
          </w:p>
        </w:tc>
        <w:tc>
          <w:tcPr>
            <w:tcW w:type="dxa" w:w="1728"/>
          </w:tcPr>
          <w:p>
            <w:pPr>
              <w:jc w:val="left"/>
            </w:pPr>
            <w:r>
              <w:t>China</w:t>
            </w:r>
          </w:p>
        </w:tc>
        <w:tc>
          <w:tcPr>
            <w:tcW w:type="dxa" w:w="1584"/>
          </w:tcPr>
          <w:p>
            <w:pPr>
              <w:jc w:val="left"/>
            </w:pPr>
            <w:r>
              <w:t>37.0%</w:t>
            </w:r>
          </w:p>
        </w:tc>
        <w:tc>
          <w:tcPr>
            <w:tcW w:type="dxa" w:w="2160"/>
          </w:tcPr>
          <w:p>
            <w:pPr>
              <w:jc w:val="left"/>
            </w:pPr>
            <w:r>
              <w:t>304.1</w:t>
            </w:r>
          </w:p>
        </w:tc>
        <w:tc>
          <w:tcPr>
            <w:tcW w:type="dxa" w:w="864"/>
          </w:tcPr>
          <w:p>
            <w:pPr>
              <w:jc w:val="left"/>
            </w:pPr>
            <w:r>
              <w:t>45%</w:t>
            </w:r>
          </w:p>
        </w:tc>
        <w:tc>
          <w:tcPr>
            <w:tcW w:type="dxa" w:w="864"/>
          </w:tcPr>
          <w:p>
            <w:pPr>
              <w:jc w:val="left"/>
            </w:pPr>
            <w:r>
              <w:t>55%</w:t>
            </w:r>
          </w:p>
        </w:tc>
      </w:tr>
      <w:tr>
        <w:tc>
          <w:tcPr>
            <w:tcW w:type="dxa" w:w="2160"/>
          </w:tcPr>
          <w:p>
            <w:pPr>
              <w:jc w:val="left"/>
            </w:pPr>
            <w:r>
              <w:t>BYD Cells</w:t>
            </w:r>
          </w:p>
        </w:tc>
        <w:tc>
          <w:tcPr>
            <w:tcW w:type="dxa" w:w="1728"/>
          </w:tcPr>
          <w:p>
            <w:pPr>
              <w:jc w:val="left"/>
            </w:pPr>
            <w:r>
              <w:t>China</w:t>
            </w:r>
          </w:p>
        </w:tc>
        <w:tc>
          <w:tcPr>
            <w:tcW w:type="dxa" w:w="1584"/>
          </w:tcPr>
          <w:p>
            <w:pPr>
              <w:jc w:val="left"/>
            </w:pPr>
            <w:r>
              <w:t>14.0%</w:t>
            </w:r>
          </w:p>
        </w:tc>
        <w:tc>
          <w:tcPr>
            <w:tcW w:type="dxa" w:w="2160"/>
          </w:tcPr>
          <w:p>
            <w:pPr>
              <w:jc w:val="left"/>
            </w:pPr>
            <w:r>
              <w:t>115.1</w:t>
            </w:r>
          </w:p>
        </w:tc>
        <w:tc>
          <w:tcPr>
            <w:tcW w:type="dxa" w:w="864"/>
          </w:tcPr>
          <w:p>
            <w:pPr>
              <w:jc w:val="left"/>
            </w:pPr>
            <w:r>
              <w:t>90%</w:t>
            </w:r>
          </w:p>
        </w:tc>
        <w:tc>
          <w:tcPr>
            <w:tcW w:type="dxa" w:w="864"/>
          </w:tcPr>
          <w:p>
            <w:pPr>
              <w:jc w:val="left"/>
            </w:pPr>
            <w:r>
              <w:t>10%</w:t>
            </w:r>
          </w:p>
        </w:tc>
      </w:tr>
      <w:tr>
        <w:tc>
          <w:tcPr>
            <w:tcW w:type="dxa" w:w="2160"/>
          </w:tcPr>
          <w:p>
            <w:pPr>
              <w:jc w:val="left"/>
            </w:pPr>
            <w:r>
              <w:t>LG Energy Sol.</w:t>
            </w:r>
          </w:p>
        </w:tc>
        <w:tc>
          <w:tcPr>
            <w:tcW w:type="dxa" w:w="1728"/>
          </w:tcPr>
          <w:p>
            <w:pPr>
              <w:jc w:val="left"/>
            </w:pPr>
            <w:r>
              <w:t>South Korea</w:t>
            </w:r>
          </w:p>
        </w:tc>
        <w:tc>
          <w:tcPr>
            <w:tcW w:type="dxa" w:w="1584"/>
          </w:tcPr>
          <w:p>
            <w:pPr>
              <w:jc w:val="left"/>
            </w:pPr>
            <w:r>
              <w:t>13.0%</w:t>
            </w:r>
          </w:p>
        </w:tc>
        <w:tc>
          <w:tcPr>
            <w:tcW w:type="dxa" w:w="2160"/>
          </w:tcPr>
          <w:p>
            <w:pPr>
              <w:jc w:val="left"/>
            </w:pPr>
            <w:r>
              <w:t>106.9</w:t>
            </w:r>
          </w:p>
        </w:tc>
        <w:tc>
          <w:tcPr>
            <w:tcW w:type="dxa" w:w="864"/>
          </w:tcPr>
          <w:p>
            <w:pPr>
              <w:jc w:val="left"/>
            </w:pPr>
            <w:r>
              <w:t>5%</w:t>
            </w:r>
          </w:p>
        </w:tc>
        <w:tc>
          <w:tcPr>
            <w:tcW w:type="dxa" w:w="864"/>
          </w:tcPr>
          <w:p>
            <w:pPr>
              <w:jc w:val="left"/>
            </w:pPr>
            <w:r>
              <w:t>95%</w:t>
            </w:r>
          </w:p>
        </w:tc>
      </w:tr>
      <w:tr>
        <w:tc>
          <w:tcPr>
            <w:tcW w:type="dxa" w:w="2160"/>
          </w:tcPr>
          <w:p>
            <w:pPr>
              <w:jc w:val="left"/>
            </w:pPr>
            <w:r>
              <w:t>Panasonic</w:t>
            </w:r>
          </w:p>
        </w:tc>
        <w:tc>
          <w:tcPr>
            <w:tcW w:type="dxa" w:w="1728"/>
          </w:tcPr>
          <w:p>
            <w:pPr>
              <w:jc w:val="left"/>
            </w:pPr>
            <w:r>
              <w:t>Japan</w:t>
            </w:r>
          </w:p>
        </w:tc>
        <w:tc>
          <w:tcPr>
            <w:tcW w:type="dxa" w:w="1584"/>
          </w:tcPr>
          <w:p>
            <w:pPr>
              <w:jc w:val="left"/>
            </w:pPr>
            <w:r>
              <w:t>7.0%</w:t>
            </w:r>
          </w:p>
        </w:tc>
        <w:tc>
          <w:tcPr>
            <w:tcW w:type="dxa" w:w="2160"/>
          </w:tcPr>
          <w:p>
            <w:pPr>
              <w:jc w:val="left"/>
            </w:pPr>
            <w:r>
              <w:t>57.5</w:t>
            </w:r>
          </w:p>
        </w:tc>
        <w:tc>
          <w:tcPr>
            <w:tcW w:type="dxa" w:w="864"/>
          </w:tcPr>
          <w:p>
            <w:pPr>
              <w:jc w:val="left"/>
            </w:pPr>
            <w:r>
              <w:t>0%</w:t>
            </w:r>
          </w:p>
        </w:tc>
        <w:tc>
          <w:tcPr>
            <w:tcW w:type="dxa" w:w="864"/>
          </w:tcPr>
          <w:p>
            <w:pPr>
              <w:jc w:val="left"/>
            </w:pPr>
            <w:r>
              <w:t>100%</w:t>
            </w:r>
          </w:p>
        </w:tc>
      </w:tr>
      <w:tr>
        <w:tc>
          <w:tcPr>
            <w:tcW w:type="dxa" w:w="2160"/>
          </w:tcPr>
          <w:p>
            <w:pPr>
              <w:jc w:val="left"/>
            </w:pPr>
            <w:r>
              <w:t>Samsung SDI</w:t>
            </w:r>
          </w:p>
        </w:tc>
        <w:tc>
          <w:tcPr>
            <w:tcW w:type="dxa" w:w="1728"/>
          </w:tcPr>
          <w:p>
            <w:pPr>
              <w:jc w:val="left"/>
            </w:pPr>
            <w:r>
              <w:t>South Korea</w:t>
            </w:r>
          </w:p>
        </w:tc>
        <w:tc>
          <w:tcPr>
            <w:tcW w:type="dxa" w:w="1584"/>
          </w:tcPr>
          <w:p>
            <w:pPr>
              <w:jc w:val="left"/>
            </w:pPr>
            <w:r>
              <w:t>6.0%</w:t>
            </w:r>
          </w:p>
        </w:tc>
        <w:tc>
          <w:tcPr>
            <w:tcW w:type="dxa" w:w="2160"/>
          </w:tcPr>
          <w:p>
            <w:pPr>
              <w:jc w:val="left"/>
            </w:pPr>
            <w:r>
              <w:t>49.3</w:t>
            </w:r>
          </w:p>
        </w:tc>
        <w:tc>
          <w:tcPr>
            <w:tcW w:type="dxa" w:w="864"/>
          </w:tcPr>
          <w:p>
            <w:pPr>
              <w:jc w:val="left"/>
            </w:pPr>
            <w:r>
              <w:t>0%</w:t>
            </w:r>
          </w:p>
        </w:tc>
        <w:tc>
          <w:tcPr>
            <w:tcW w:type="dxa" w:w="864"/>
          </w:tcPr>
          <w:p>
            <w:pPr>
              <w:jc w:val="left"/>
            </w:pPr>
            <w:r>
              <w:t>100%</w:t>
            </w:r>
          </w:p>
        </w:tc>
      </w:tr>
      <w:tr>
        <w:tc>
          <w:tcPr>
            <w:tcW w:type="dxa" w:w="2160"/>
          </w:tcPr>
          <w:p>
            <w:pPr>
              <w:jc w:val="left"/>
            </w:pPr>
            <w:r>
              <w:t>SK On</w:t>
            </w:r>
          </w:p>
        </w:tc>
        <w:tc>
          <w:tcPr>
            <w:tcW w:type="dxa" w:w="1728"/>
          </w:tcPr>
          <w:p>
            <w:pPr>
              <w:jc w:val="left"/>
            </w:pPr>
            <w:r>
              <w:t>South Korea</w:t>
            </w:r>
          </w:p>
        </w:tc>
        <w:tc>
          <w:tcPr>
            <w:tcW w:type="dxa" w:w="1584"/>
          </w:tcPr>
          <w:p>
            <w:pPr>
              <w:jc w:val="left"/>
            </w:pPr>
            <w:r>
              <w:t>5.0%</w:t>
            </w:r>
          </w:p>
        </w:tc>
        <w:tc>
          <w:tcPr>
            <w:tcW w:type="dxa" w:w="2160"/>
          </w:tcPr>
          <w:p>
            <w:pPr>
              <w:jc w:val="left"/>
            </w:pPr>
            <w:r>
              <w:t>41.1</w:t>
            </w:r>
          </w:p>
        </w:tc>
        <w:tc>
          <w:tcPr>
            <w:tcW w:type="dxa" w:w="864"/>
          </w:tcPr>
          <w:p>
            <w:pPr>
              <w:jc w:val="left"/>
            </w:pPr>
            <w:r>
              <w:t>0%</w:t>
            </w:r>
          </w:p>
        </w:tc>
        <w:tc>
          <w:tcPr>
            <w:tcW w:type="dxa" w:w="864"/>
          </w:tcPr>
          <w:p>
            <w:pPr>
              <w:jc w:val="left"/>
            </w:pPr>
            <w:r>
              <w:t>100%</w:t>
            </w:r>
          </w:p>
        </w:tc>
      </w:tr>
      <w:tr>
        <w:tc>
          <w:tcPr>
            <w:tcW w:type="dxa" w:w="2160"/>
          </w:tcPr>
          <w:p>
            <w:pPr>
              <w:jc w:val="left"/>
            </w:pPr>
            <w:r>
              <w:t>CALB</w:t>
            </w:r>
          </w:p>
        </w:tc>
        <w:tc>
          <w:tcPr>
            <w:tcW w:type="dxa" w:w="1728"/>
          </w:tcPr>
          <w:p>
            <w:pPr>
              <w:jc w:val="left"/>
            </w:pPr>
            <w:r>
              <w:t>China</w:t>
            </w:r>
          </w:p>
        </w:tc>
        <w:tc>
          <w:tcPr>
            <w:tcW w:type="dxa" w:w="1584"/>
          </w:tcPr>
          <w:p>
            <w:pPr>
              <w:jc w:val="left"/>
            </w:pPr>
            <w:r>
              <w:t>5.0%</w:t>
            </w:r>
          </w:p>
        </w:tc>
        <w:tc>
          <w:tcPr>
            <w:tcW w:type="dxa" w:w="2160"/>
          </w:tcPr>
          <w:p>
            <w:pPr>
              <w:jc w:val="left"/>
            </w:pPr>
            <w:r>
              <w:t>41.1</w:t>
            </w:r>
          </w:p>
        </w:tc>
        <w:tc>
          <w:tcPr>
            <w:tcW w:type="dxa" w:w="864"/>
          </w:tcPr>
          <w:p>
            <w:pPr>
              <w:jc w:val="left"/>
            </w:pPr>
            <w:r>
              <w:t>80%</w:t>
            </w:r>
          </w:p>
        </w:tc>
        <w:tc>
          <w:tcPr>
            <w:tcW w:type="dxa" w:w="864"/>
          </w:tcPr>
          <w:p>
            <w:pPr>
              <w:jc w:val="left"/>
            </w:pPr>
            <w:r>
              <w:t>20%</w:t>
            </w:r>
          </w:p>
        </w:tc>
      </w:tr>
      <w:tr>
        <w:tc>
          <w:tcPr>
            <w:tcW w:type="dxa" w:w="2160"/>
          </w:tcPr>
          <w:p>
            <w:pPr>
              <w:jc w:val="left"/>
            </w:pPr>
            <w:r>
              <w:t>AESC (UK)</w:t>
            </w:r>
          </w:p>
        </w:tc>
        <w:tc>
          <w:tcPr>
            <w:tcW w:type="dxa" w:w="1728"/>
          </w:tcPr>
          <w:p>
            <w:pPr>
              <w:jc w:val="left"/>
            </w:pPr>
            <w:r>
              <w:t>UK</w:t>
            </w:r>
          </w:p>
        </w:tc>
        <w:tc>
          <w:tcPr>
            <w:tcW w:type="dxa" w:w="1584"/>
          </w:tcPr>
          <w:p>
            <w:pPr>
              <w:jc w:val="left"/>
            </w:pPr>
            <w:r>
              <w:t>0.2%</w:t>
            </w:r>
          </w:p>
        </w:tc>
        <w:tc>
          <w:tcPr>
            <w:tcW w:type="dxa" w:w="2160"/>
          </w:tcPr>
          <w:p>
            <w:pPr>
              <w:jc w:val="left"/>
            </w:pPr>
            <w:r>
              <w:t>1.6</w:t>
            </w:r>
          </w:p>
        </w:tc>
        <w:tc>
          <w:tcPr>
            <w:tcW w:type="dxa" w:w="864"/>
          </w:tcPr>
          <w:p>
            <w:pPr>
              <w:jc w:val="left"/>
            </w:pPr>
            <w:r>
              <w:t>0%</w:t>
            </w:r>
          </w:p>
        </w:tc>
        <w:tc>
          <w:tcPr>
            <w:tcW w:type="dxa" w:w="864"/>
          </w:tcPr>
          <w:p>
            <w:pPr>
              <w:jc w:val="left"/>
            </w:pPr>
            <w:r>
              <w:t>100%</w:t>
            </w:r>
          </w:p>
        </w:tc>
      </w:tr>
      <w:tr>
        <w:tc>
          <w:tcPr>
            <w:tcW w:type="dxa" w:w="2160"/>
          </w:tcPr>
          <w:p>
            <w:pPr>
              <w:jc w:val="left"/>
            </w:pPr>
            <w:r>
              <w:t>Others</w:t>
            </w:r>
          </w:p>
        </w:tc>
        <w:tc>
          <w:tcPr>
            <w:tcW w:type="dxa" w:w="1728"/>
          </w:tcPr>
          <w:p>
            <w:pPr>
              <w:jc w:val="left"/>
            </w:pPr>
            <w:r>
              <w:t>Mixed</w:t>
            </w:r>
          </w:p>
        </w:tc>
        <w:tc>
          <w:tcPr>
            <w:tcW w:type="dxa" w:w="1584"/>
          </w:tcPr>
          <w:p>
            <w:pPr>
              <w:jc w:val="left"/>
            </w:pPr>
            <w:r>
              <w:t>12.8%</w:t>
            </w:r>
          </w:p>
        </w:tc>
        <w:tc>
          <w:tcPr>
            <w:tcW w:type="dxa" w:w="2160"/>
          </w:tcPr>
          <w:p>
            <w:pPr>
              <w:jc w:val="left"/>
            </w:pPr>
            <w:r>
              <w:t>105.2</w:t>
            </w:r>
          </w:p>
        </w:tc>
        <w:tc>
          <w:tcPr>
            <w:tcW w:type="dxa" w:w="864"/>
          </w:tcPr>
          <w:p>
            <w:pPr>
              <w:jc w:val="left"/>
            </w:pPr>
            <w:r>
              <w:t>50%</w:t>
            </w:r>
          </w:p>
        </w:tc>
        <w:tc>
          <w:tcPr>
            <w:tcW w:type="dxa" w:w="864"/>
          </w:tcPr>
          <w:p>
            <w:pPr>
              <w:jc w:val="left"/>
            </w:pPr>
            <w:r>
              <w:t>50%</w:t>
            </w:r>
          </w:p>
        </w:tc>
      </w:tr>
    </w:tbl>
    <w:p/>
    <w:p>
      <w:r>
        <w:rPr>
          <w:b/>
          <w:i w:val="0"/>
        </w:rPr>
        <w:t>Leontief production constraint:</w:t>
      </w:r>
    </w:p>
    <w:p>
      <w:pPr>
        <w:ind w:left="720" w:right="720"/>
        <w:shd w:val="clear" w:color="auto" w:fill="F2F2F2"/>
      </w:pPr>
      <w:r>
        <w:rPr>
          <w:rFonts w:ascii="Courier New" w:hAnsi="Courier New"/>
          <w:sz w:val="20"/>
        </w:rPr>
        <w:t>cobalt_price_adj = clip((cobalt_price − 1.0) × 0.15,  0, 1)</w:t>
        <w:br/>
        <w:t>effective_NMC = nmc_fraction × (1 − cobalt_price_adj)</w:t>
        <w:br/>
        <w:t>effective_LFP = 1 − effective_NMC</w:t>
        <w:br/>
        <w:br/>
        <w:t>cobalt_constraint = effective_LFP + effective_NMC × availability[cobalt]</w:t>
        <w:br/>
        <w:br/>
        <w:t>leontief = min(availability[lithium],</w:t>
        <w:br/>
        <w:t xml:space="preserve">              availability[graphite],</w:t>
        <w:br/>
        <w:t xml:space="preserve">              cobalt_constraint)</w:t>
        <w:br/>
        <w:br/>
        <w:t>max_production = weekly_capacity × shock_multiplier × leontief</w:t>
        <w:br/>
        <w:br/>
        <w:t>Capacity growth each week:</w:t>
        <w:br/>
        <w:t>weekly_capacity(t+1) = weekly_capacity(t) × (1 + 0.491%/wk × growth_multiplier)</w:t>
      </w:r>
    </w:p>
    <w:p>
      <w:r>
        <w:rPr>
          <w:b/>
          <w:i w:val="0"/>
        </w:rPr>
        <w:t>Inventory and order policy:</w:t>
      </w:r>
    </w:p>
    <w:p>
      <w:pPr>
        <w:ind w:left="720" w:right="720"/>
        <w:shd w:val="clear" w:color="auto" w:fill="F2F2F2"/>
      </w:pPr>
      <w:r>
        <w:rPr>
          <w:rFonts w:ascii="Courier New" w:hAnsi="Courier New"/>
          <w:sz w:val="20"/>
        </w:rPr>
        <w:t>target_inventory = weekly_capacity × safety_stock_weeks × inventory_multiplier</w:t>
        <w:br/>
        <w:t>gap = max(0,  target_inventory − current_inventory)</w:t>
        <w:br/>
        <w:t>desired_output = weekly_capacity + gap / 4.0</w:t>
        <w:br/>
        <w:t>actual_output  = min(desired_output,  max_production)</w:t>
        <w:br/>
        <w:br/>
        <w:t>inventory(t+1) = inventory(t) + actual_output − fulfilled_demand</w:t>
      </w:r>
    </w:p>
    <w:p>
      <w:pPr>
        <w:pStyle w:val="Heading2"/>
        <w:jc w:val="left"/>
      </w:pPr>
      <w:r>
        <w:t>4.3  Tier1SupplierAgent  (Tier 3 — 4 agents)</w:t>
      </w:r>
    </w:p>
    <w:p>
      <w:r>
        <w:rPr>
          <w:b w:val="0"/>
          <w:i w:val="0"/>
        </w:rPr>
        <w:t>Models a sub-system supplier. Four agents cover the four critical EV sub-assemblies. Each agent maintains an explicit lead-time order pipeline.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016"/>
            <w:shd w:val="clear" w:color="auto" w:fill="D9E2F3"/>
          </w:tcPr>
          <w:p>
            <w:pPr>
              <w:jc w:val="center"/>
            </w:pPr>
            <w:r>
              <w:rPr>
                <w:b/>
              </w:rPr>
              <w:t>Agent</w:t>
            </w:r>
          </w:p>
        </w:tc>
        <w:tc>
          <w:tcPr>
            <w:tcW w:type="dxa" w:w="1872"/>
            <w:shd w:val="clear" w:color="auto" w:fill="D9E2F3"/>
          </w:tcPr>
          <w:p>
            <w:pPr>
              <w:jc w:val="center"/>
            </w:pPr>
            <w:r>
              <w:rPr>
                <w:b/>
              </w:rPr>
              <w:t>Component</w:t>
            </w:r>
          </w:p>
        </w:tc>
        <w:tc>
          <w:tcPr>
            <w:tcW w:type="dxa" w:w="1584"/>
            <w:shd w:val="clear" w:color="auto" w:fill="D9E2F3"/>
          </w:tcPr>
          <w:p>
            <w:pPr>
              <w:jc w:val="center"/>
            </w:pPr>
            <w:r>
              <w:rPr>
                <w:b/>
              </w:rPr>
              <w:t>Key Input</w:t>
            </w:r>
          </w:p>
        </w:tc>
        <w:tc>
          <w:tcPr>
            <w:tcW w:type="dxa" w:w="1296"/>
            <w:shd w:val="clear" w:color="auto" w:fill="D9E2F3"/>
          </w:tcPr>
          <w:p>
            <w:pPr>
              <w:jc w:val="center"/>
            </w:pPr>
            <w:r>
              <w:rPr>
                <w:b/>
              </w:rPr>
              <w:t>Input Dep.</w:t>
            </w:r>
          </w:p>
        </w:tc>
        <w:tc>
          <w:tcPr>
            <w:tcW w:type="dxa" w:w="1440"/>
            <w:shd w:val="clear" w:color="auto" w:fill="D9E2F3"/>
          </w:tcPr>
          <w:p>
            <w:pPr>
              <w:jc w:val="center"/>
            </w:pPr>
            <w:r>
              <w:rPr>
                <w:b/>
              </w:rPr>
              <w:t>Lead Time</w:t>
            </w:r>
          </w:p>
        </w:tc>
        <w:tc>
          <w:tcPr>
            <w:tcW w:type="dxa" w:w="1584"/>
            <w:shd w:val="clear" w:color="auto" w:fill="D9E2F3"/>
          </w:tcPr>
          <w:p>
            <w:pPr>
              <w:jc w:val="center"/>
            </w:pPr>
            <w:r>
              <w:rPr>
                <w:b/>
              </w:rPr>
              <w:t>Safety Stock</w:t>
            </w:r>
          </w:p>
        </w:tc>
      </w:tr>
      <w:tr>
        <w:tc>
          <w:tcPr>
            <w:tcW w:type="dxa" w:w="2016"/>
          </w:tcPr>
          <w:p>
            <w:pPr>
              <w:jc w:val="left"/>
            </w:pPr>
            <w:r>
              <w:t>t1_battery_pack</w:t>
            </w:r>
          </w:p>
        </w:tc>
        <w:tc>
          <w:tcPr>
            <w:tcW w:type="dxa" w:w="1872"/>
          </w:tcPr>
          <w:p>
            <w:pPr>
              <w:jc w:val="left"/>
            </w:pPr>
            <w:r>
              <w:t>Battery pack</w:t>
            </w:r>
          </w:p>
        </w:tc>
        <w:tc>
          <w:tcPr>
            <w:tcW w:type="dxa" w:w="1584"/>
          </w:tcPr>
          <w:p>
            <w:pPr>
              <w:jc w:val="left"/>
            </w:pPr>
            <w:r>
              <w:t>Cells</w:t>
            </w:r>
          </w:p>
        </w:tc>
        <w:tc>
          <w:tcPr>
            <w:tcW w:type="dxa" w:w="1296"/>
          </w:tcPr>
          <w:p>
            <w:pPr>
              <w:jc w:val="left"/>
            </w:pPr>
            <w:r>
              <w:t>100%</w:t>
            </w:r>
          </w:p>
        </w:tc>
        <w:tc>
          <w:tcPr>
            <w:tcW w:type="dxa" w:w="1440"/>
          </w:tcPr>
          <w:p>
            <w:pPr>
              <w:jc w:val="left"/>
            </w:pPr>
            <w:r>
              <w:t>4 wks</w:t>
            </w:r>
          </w:p>
        </w:tc>
        <w:tc>
          <w:tcPr>
            <w:tcW w:type="dxa" w:w="1584"/>
          </w:tcPr>
          <w:p>
            <w:pPr>
              <w:jc w:val="left"/>
            </w:pPr>
            <w:r>
              <w:t>3 wks</w:t>
            </w:r>
          </w:p>
        </w:tc>
      </w:tr>
      <w:tr>
        <w:tc>
          <w:tcPr>
            <w:tcW w:type="dxa" w:w="2016"/>
          </w:tcPr>
          <w:p>
            <w:pPr>
              <w:jc w:val="left"/>
            </w:pPr>
            <w:r>
              <w:t>t1_inverter</w:t>
            </w:r>
          </w:p>
        </w:tc>
        <w:tc>
          <w:tcPr>
            <w:tcW w:type="dxa" w:w="1872"/>
          </w:tcPr>
          <w:p>
            <w:pPr>
              <w:jc w:val="left"/>
            </w:pPr>
            <w:r>
              <w:t>Inverter</w:t>
            </w:r>
          </w:p>
        </w:tc>
        <w:tc>
          <w:tcPr>
            <w:tcW w:type="dxa" w:w="1584"/>
          </w:tcPr>
          <w:p>
            <w:pPr>
              <w:jc w:val="left"/>
            </w:pPr>
            <w:r>
              <w:t>SiC wafer</w:t>
            </w:r>
          </w:p>
        </w:tc>
        <w:tc>
          <w:tcPr>
            <w:tcW w:type="dxa" w:w="1296"/>
          </w:tcPr>
          <w:p>
            <w:pPr>
              <w:jc w:val="left"/>
            </w:pPr>
            <w:r>
              <w:t xml:space="preserve"> 45%</w:t>
            </w:r>
          </w:p>
        </w:tc>
        <w:tc>
          <w:tcPr>
            <w:tcW w:type="dxa" w:w="1440"/>
          </w:tcPr>
          <w:p>
            <w:pPr>
              <w:jc w:val="left"/>
            </w:pPr>
            <w:r>
              <w:t>16 wks</w:t>
            </w:r>
          </w:p>
        </w:tc>
        <w:tc>
          <w:tcPr>
            <w:tcW w:type="dxa" w:w="1584"/>
          </w:tcPr>
          <w:p>
            <w:pPr>
              <w:jc w:val="left"/>
            </w:pPr>
            <w:r>
              <w:t>8 wks</w:t>
            </w:r>
          </w:p>
        </w:tc>
      </w:tr>
      <w:tr>
        <w:tc>
          <w:tcPr>
            <w:tcW w:type="dxa" w:w="2016"/>
          </w:tcPr>
          <w:p>
            <w:pPr>
              <w:jc w:val="left"/>
            </w:pPr>
            <w:r>
              <w:t>t1_motor</w:t>
            </w:r>
          </w:p>
        </w:tc>
        <w:tc>
          <w:tcPr>
            <w:tcW w:type="dxa" w:w="1872"/>
          </w:tcPr>
          <w:p>
            <w:pPr>
              <w:jc w:val="left"/>
            </w:pPr>
            <w:r>
              <w:t>Motor</w:t>
            </w:r>
          </w:p>
        </w:tc>
        <w:tc>
          <w:tcPr>
            <w:tcW w:type="dxa" w:w="1584"/>
          </w:tcPr>
          <w:p>
            <w:pPr>
              <w:jc w:val="left"/>
            </w:pPr>
            <w:r>
              <w:t>REE</w:t>
            </w:r>
          </w:p>
        </w:tc>
        <w:tc>
          <w:tcPr>
            <w:tcW w:type="dxa" w:w="1296"/>
          </w:tcPr>
          <w:p>
            <w:pPr>
              <w:jc w:val="left"/>
            </w:pPr>
            <w:r>
              <w:t xml:space="preserve"> 82%</w:t>
            </w:r>
          </w:p>
        </w:tc>
        <w:tc>
          <w:tcPr>
            <w:tcW w:type="dxa" w:w="1440"/>
          </w:tcPr>
          <w:p>
            <w:pPr>
              <w:jc w:val="left"/>
            </w:pPr>
            <w:r>
              <w:t>12 wks</w:t>
            </w:r>
          </w:p>
        </w:tc>
        <w:tc>
          <w:tcPr>
            <w:tcW w:type="dxa" w:w="1584"/>
          </w:tcPr>
          <w:p>
            <w:pPr>
              <w:jc w:val="left"/>
            </w:pPr>
            <w:r>
              <w:t>6 wks</w:t>
            </w:r>
          </w:p>
        </w:tc>
      </w:tr>
      <w:tr>
        <w:tc>
          <w:tcPr>
            <w:tcW w:type="dxa" w:w="2016"/>
          </w:tcPr>
          <w:p>
            <w:pPr>
              <w:jc w:val="left"/>
            </w:pPr>
            <w:r>
              <w:t>t1_harness</w:t>
            </w:r>
          </w:p>
        </w:tc>
        <w:tc>
          <w:tcPr>
            <w:tcW w:type="dxa" w:w="1872"/>
          </w:tcPr>
          <w:p>
            <w:pPr>
              <w:jc w:val="left"/>
            </w:pPr>
            <w:r>
              <w:t>Wiring harness</w:t>
            </w:r>
          </w:p>
        </w:tc>
        <w:tc>
          <w:tcPr>
            <w:tcW w:type="dxa" w:w="1584"/>
          </w:tcPr>
          <w:p>
            <w:pPr>
              <w:jc w:val="left"/>
            </w:pPr>
            <w:r>
              <w:t>Copper</w:t>
            </w:r>
          </w:p>
        </w:tc>
        <w:tc>
          <w:tcPr>
            <w:tcW w:type="dxa" w:w="1296"/>
          </w:tcPr>
          <w:p>
            <w:pPr>
              <w:jc w:val="left"/>
            </w:pPr>
            <w:r>
              <w:t xml:space="preserve">  0%</w:t>
            </w:r>
          </w:p>
        </w:tc>
        <w:tc>
          <w:tcPr>
            <w:tcW w:type="dxa" w:w="1440"/>
          </w:tcPr>
          <w:p>
            <w:pPr>
              <w:jc w:val="left"/>
            </w:pPr>
            <w:r>
              <w:t xml:space="preserve"> 6 wks</w:t>
            </w:r>
          </w:p>
        </w:tc>
        <w:tc>
          <w:tcPr>
            <w:tcW w:type="dxa" w:w="1584"/>
          </w:tcPr>
          <w:p>
            <w:pPr>
              <w:jc w:val="left"/>
            </w:pPr>
            <w:r>
              <w:t>2 wks</w:t>
            </w:r>
          </w:p>
        </w:tc>
      </w:tr>
    </w:tbl>
    <w:p/>
    <w:p>
      <w:r>
        <w:rPr>
          <w:b/>
          <w:i w:val="0"/>
        </w:rPr>
        <w:t>Decision rule — order-up-to with bullwhip:</w:t>
      </w:r>
    </w:p>
    <w:p>
      <w:pPr>
        <w:ind w:left="720" w:right="720"/>
        <w:shd w:val="clear" w:color="auto" w:fill="F2F2F2"/>
      </w:pPr>
      <w:r>
        <w:rPr>
          <w:rFonts w:ascii="Courier New" w:hAnsi="Courier New"/>
          <w:sz w:val="20"/>
        </w:rPr>
        <w:t>Partial input constraint (allows non-critical portion to run):</w:t>
        <w:br/>
        <w:t xml:space="preserve">  constraint = (1 − input_dependency) + input_dependency × availability[key_input]</w:t>
        <w:br/>
        <w:br/>
        <w:t>Order-up-to policy:</w:t>
        <w:br/>
        <w:t xml:space="preserve">  inventory_position = on_hand_inventory + in_transit(pipeline)</w:t>
        <w:br/>
        <w:t xml:space="preserve">  shortfall = max(0,  target_inventory − inventory_position)</w:t>
        <w:br/>
        <w:t xml:space="preserve">  order = weekly_target + BULLWHIP_FACTOR × shortfall</w:t>
        <w:br/>
        <w:br/>
        <w:t>Dual sourcing (activates when inventory &lt; 20% of target):</w:t>
        <w:br/>
        <w:t xml:space="preserve">  order × = 1.20  (20% cost premium for expedited sourcing)</w:t>
        <w:br/>
        <w:br/>
        <w:t>Pipeline: FIFO queue of length lead_time_weeks</w:t>
        <w:br/>
        <w:t xml:space="preserve">  pipeline.append(order)   [place order]</w:t>
        <w:br/>
        <w:t xml:space="preserve">  delivery = pipeline.pop(0)   [receive oldest order]</w:t>
      </w:r>
    </w:p>
    <w:p>
      <w:pPr>
        <w:pStyle w:val="Heading2"/>
        <w:jc w:val="left"/>
      </w:pPr>
      <w:r>
        <w:t>4.4  OEMAgent  (Tier 4 — 7 agents)</w:t>
      </w:r>
    </w:p>
    <w:p>
      <w:r>
        <w:rPr>
          <w:b w:val="0"/>
          <w:i w:val="0"/>
        </w:rPr>
        <w:t>Models a vehicle manufacturer group. Seven agents cover major regional OEM groups. Production is governed by a strict Leontief constraint across all four sub-system inputs.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304"/>
            <w:shd w:val="clear" w:color="auto" w:fill="D9E2F3"/>
          </w:tcPr>
          <w:p>
            <w:pPr>
              <w:jc w:val="center"/>
            </w:pPr>
            <w:r>
              <w:rPr>
                <w:b/>
              </w:rPr>
              <w:t>Agent</w:t>
            </w:r>
          </w:p>
        </w:tc>
        <w:tc>
          <w:tcPr>
            <w:tcW w:type="dxa" w:w="1152"/>
            <w:shd w:val="clear" w:color="auto" w:fill="D9E2F3"/>
          </w:tcPr>
          <w:p>
            <w:pPr>
              <w:jc w:val="center"/>
            </w:pPr>
            <w:r>
              <w:rPr>
                <w:b/>
              </w:rPr>
              <w:t>Region</w:t>
            </w:r>
          </w:p>
        </w:tc>
        <w:tc>
          <w:tcPr>
            <w:tcW w:type="dxa" w:w="1872"/>
            <w:shd w:val="clear" w:color="auto" w:fill="D9E2F3"/>
          </w:tcPr>
          <w:p>
            <w:pPr>
              <w:jc w:val="center"/>
            </w:pPr>
            <w:r>
              <w:rPr>
                <w:b/>
              </w:rPr>
              <w:t>Annual Target (k)</w:t>
            </w:r>
          </w:p>
        </w:tc>
        <w:tc>
          <w:tcPr>
            <w:tcW w:type="dxa" w:w="3456"/>
            <w:shd w:val="clear" w:color="auto" w:fill="D9E2F3"/>
          </w:tcPr>
          <w:p>
            <w:pPr>
              <w:jc w:val="center"/>
            </w:pPr>
            <w:r>
              <w:rPr>
                <w:b/>
              </w:rPr>
              <w:t>Vertical Integration</w:t>
            </w:r>
          </w:p>
        </w:tc>
        <w:tc>
          <w:tcPr>
            <w:tcW w:type="dxa" w:w="1296"/>
            <w:shd w:val="clear" w:color="auto" w:fill="D9E2F3"/>
          </w:tcPr>
          <w:p>
            <w:pPr>
              <w:jc w:val="center"/>
            </w:pPr>
            <w:r>
              <w:rPr>
                <w:b/>
              </w:rPr>
              <w:t>Safety Stock</w:t>
            </w:r>
          </w:p>
        </w:tc>
      </w:tr>
      <w:tr>
        <w:tc>
          <w:tcPr>
            <w:tcW w:type="dxa" w:w="2304"/>
          </w:tcPr>
          <w:p>
            <w:pPr>
              <w:jc w:val="left"/>
            </w:pPr>
            <w:r>
              <w:t>byd_oem</w:t>
            </w:r>
          </w:p>
        </w:tc>
        <w:tc>
          <w:tcPr>
            <w:tcW w:type="dxa" w:w="1152"/>
          </w:tcPr>
          <w:p>
            <w:pPr>
              <w:jc w:val="left"/>
            </w:pPr>
            <w:r>
              <w:t>China</w:t>
            </w:r>
          </w:p>
        </w:tc>
        <w:tc>
          <w:tcPr>
            <w:tcW w:type="dxa" w:w="1872"/>
          </w:tcPr>
          <w:p>
            <w:pPr>
              <w:jc w:val="left"/>
            </w:pPr>
            <w:r>
              <w:t>1,575</w:t>
            </w:r>
          </w:p>
        </w:tc>
        <w:tc>
          <w:tcPr>
            <w:tcW w:type="dxa" w:w="3456"/>
          </w:tcPr>
          <w:p>
            <w:pPr>
              <w:jc w:val="left"/>
            </w:pPr>
            <w:r>
              <w:t>95% (Blade cells, motors, chips in-house)</w:t>
            </w:r>
          </w:p>
        </w:tc>
        <w:tc>
          <w:tcPr>
            <w:tcW w:type="dxa" w:w="1296"/>
          </w:tcPr>
          <w:p>
            <w:pPr>
              <w:jc w:val="left"/>
            </w:pPr>
            <w:r>
              <w:t>3 wks</w:t>
            </w:r>
          </w:p>
        </w:tc>
      </w:tr>
      <w:tr>
        <w:tc>
          <w:tcPr>
            <w:tcW w:type="dxa" w:w="2304"/>
          </w:tcPr>
          <w:p>
            <w:pPr>
              <w:jc w:val="left"/>
            </w:pPr>
            <w:r>
              <w:t>other_chinese_oem</w:t>
            </w:r>
          </w:p>
        </w:tc>
        <w:tc>
          <w:tcPr>
            <w:tcW w:type="dxa" w:w="1152"/>
          </w:tcPr>
          <w:p>
            <w:pPr>
              <w:jc w:val="left"/>
            </w:pPr>
            <w:r>
              <w:t>China</w:t>
            </w:r>
          </w:p>
        </w:tc>
        <w:tc>
          <w:tcPr>
            <w:tcW w:type="dxa" w:w="1872"/>
          </w:tcPr>
          <w:p>
            <w:pPr>
              <w:jc w:val="left"/>
            </w:pPr>
            <w:r>
              <w:t>6,825</w:t>
            </w:r>
          </w:p>
        </w:tc>
        <w:tc>
          <w:tcPr>
            <w:tcW w:type="dxa" w:w="3456"/>
          </w:tcPr>
          <w:p>
            <w:pPr>
              <w:jc w:val="left"/>
            </w:pPr>
            <w:r>
              <w:t>50% (CATL-reliant)</w:t>
            </w:r>
          </w:p>
        </w:tc>
        <w:tc>
          <w:tcPr>
            <w:tcW w:type="dxa" w:w="1296"/>
          </w:tcPr>
          <w:p>
            <w:pPr>
              <w:jc w:val="left"/>
            </w:pPr>
            <w:r>
              <w:t>4 wks</w:t>
            </w:r>
          </w:p>
        </w:tc>
      </w:tr>
      <w:tr>
        <w:tc>
          <w:tcPr>
            <w:tcW w:type="dxa" w:w="2304"/>
          </w:tcPr>
          <w:p>
            <w:pPr>
              <w:jc w:val="left"/>
            </w:pPr>
            <w:r>
              <w:t>uk_oem</w:t>
            </w:r>
          </w:p>
        </w:tc>
        <w:tc>
          <w:tcPr>
            <w:tcW w:type="dxa" w:w="1152"/>
          </w:tcPr>
          <w:p>
            <w:pPr>
              <w:jc w:val="left"/>
            </w:pPr>
            <w:r>
              <w:t>UK</w:t>
            </w:r>
          </w:p>
        </w:tc>
        <w:tc>
          <w:tcPr>
            <w:tcW w:type="dxa" w:w="1872"/>
          </w:tcPr>
          <w:p>
            <w:pPr>
              <w:jc w:val="left"/>
            </w:pPr>
            <w:r>
              <w:t>175</w:t>
            </w:r>
          </w:p>
        </w:tc>
        <w:tc>
          <w:tcPr>
            <w:tcW w:type="dxa" w:w="3456"/>
          </w:tcPr>
          <w:p>
            <w:pPr>
              <w:jc w:val="left"/>
            </w:pPr>
            <w:r>
              <w:t xml:space="preserve"> 5% (no domestic cell capacity)</w:t>
            </w:r>
          </w:p>
        </w:tc>
        <w:tc>
          <w:tcPr>
            <w:tcW w:type="dxa" w:w="1296"/>
          </w:tcPr>
          <w:p>
            <w:pPr>
              <w:jc w:val="left"/>
            </w:pPr>
            <w:r>
              <w:t>5 wks</w:t>
            </w:r>
          </w:p>
        </w:tc>
      </w:tr>
      <w:tr>
        <w:tc>
          <w:tcPr>
            <w:tcW w:type="dxa" w:w="2304"/>
          </w:tcPr>
          <w:p>
            <w:pPr>
              <w:jc w:val="left"/>
            </w:pPr>
            <w:r>
              <w:t>us_oem</w:t>
            </w:r>
          </w:p>
        </w:tc>
        <w:tc>
          <w:tcPr>
            <w:tcW w:type="dxa" w:w="1152"/>
          </w:tcPr>
          <w:p>
            <w:pPr>
              <w:jc w:val="left"/>
            </w:pPr>
            <w:r>
              <w:t>USA</w:t>
            </w:r>
          </w:p>
        </w:tc>
        <w:tc>
          <w:tcPr>
            <w:tcW w:type="dxa" w:w="1872"/>
          </w:tcPr>
          <w:p>
            <w:pPr>
              <w:jc w:val="left"/>
            </w:pPr>
            <w:r>
              <w:t>1,820</w:t>
            </w:r>
          </w:p>
        </w:tc>
        <w:tc>
          <w:tcPr>
            <w:tcW w:type="dxa" w:w="3456"/>
          </w:tcPr>
          <w:p>
            <w:pPr>
              <w:jc w:val="left"/>
            </w:pPr>
            <w:r>
              <w:t>40% (Tesla in-house + GM Ultium)</w:t>
            </w:r>
          </w:p>
        </w:tc>
        <w:tc>
          <w:tcPr>
            <w:tcW w:type="dxa" w:w="1296"/>
          </w:tcPr>
          <w:p>
            <w:pPr>
              <w:jc w:val="left"/>
            </w:pPr>
            <w:r>
              <w:t>5 wks</w:t>
            </w:r>
          </w:p>
        </w:tc>
      </w:tr>
      <w:tr>
        <w:tc>
          <w:tcPr>
            <w:tcW w:type="dxa" w:w="2304"/>
          </w:tcPr>
          <w:p>
            <w:pPr>
              <w:jc w:val="left"/>
            </w:pPr>
            <w:r>
              <w:t>german_oem</w:t>
            </w:r>
          </w:p>
        </w:tc>
        <w:tc>
          <w:tcPr>
            <w:tcW w:type="dxa" w:w="1152"/>
          </w:tcPr>
          <w:p>
            <w:pPr>
              <w:jc w:val="left"/>
            </w:pPr>
            <w:r>
              <w:t>Europe</w:t>
            </w:r>
          </w:p>
        </w:tc>
        <w:tc>
          <w:tcPr>
            <w:tcW w:type="dxa" w:w="1872"/>
          </w:tcPr>
          <w:p>
            <w:pPr>
              <w:jc w:val="left"/>
            </w:pPr>
            <w:r>
              <w:t>1,505</w:t>
            </w:r>
          </w:p>
        </w:tc>
        <w:tc>
          <w:tcPr>
            <w:tcW w:type="dxa" w:w="3456"/>
          </w:tcPr>
          <w:p>
            <w:pPr>
              <w:jc w:val="left"/>
            </w:pPr>
            <w:r>
              <w:t>20% (heavy Tier-1 reliance)</w:t>
            </w:r>
          </w:p>
        </w:tc>
        <w:tc>
          <w:tcPr>
            <w:tcW w:type="dxa" w:w="1296"/>
          </w:tcPr>
          <w:p>
            <w:pPr>
              <w:jc w:val="left"/>
            </w:pPr>
            <w:r>
              <w:t>6 wks</w:t>
            </w:r>
          </w:p>
        </w:tc>
      </w:tr>
      <w:tr>
        <w:tc>
          <w:tcPr>
            <w:tcW w:type="dxa" w:w="2304"/>
          </w:tcPr>
          <w:p>
            <w:pPr>
              <w:jc w:val="left"/>
            </w:pPr>
            <w:r>
              <w:t>korean_oem</w:t>
            </w:r>
          </w:p>
        </w:tc>
        <w:tc>
          <w:tcPr>
            <w:tcW w:type="dxa" w:w="1152"/>
          </w:tcPr>
          <w:p>
            <w:pPr>
              <w:jc w:val="left"/>
            </w:pPr>
            <w:r>
              <w:t>Korea</w:t>
            </w:r>
          </w:p>
        </w:tc>
        <w:tc>
          <w:tcPr>
            <w:tcW w:type="dxa" w:w="1872"/>
          </w:tcPr>
          <w:p>
            <w:pPr>
              <w:jc w:val="left"/>
            </w:pPr>
            <w:r>
              <w:t>1,120</w:t>
            </w:r>
          </w:p>
        </w:tc>
        <w:tc>
          <w:tcPr>
            <w:tcW w:type="dxa" w:w="3456"/>
          </w:tcPr>
          <w:p>
            <w:pPr>
              <w:jc w:val="left"/>
            </w:pPr>
            <w:r>
              <w:t>45%</w:t>
            </w:r>
          </w:p>
        </w:tc>
        <w:tc>
          <w:tcPr>
            <w:tcW w:type="dxa" w:w="1296"/>
          </w:tcPr>
          <w:p>
            <w:pPr>
              <w:jc w:val="left"/>
            </w:pPr>
            <w:r>
              <w:t>5 wks</w:t>
            </w:r>
          </w:p>
        </w:tc>
      </w:tr>
      <w:tr>
        <w:tc>
          <w:tcPr>
            <w:tcW w:type="dxa" w:w="2304"/>
          </w:tcPr>
          <w:p>
            <w:pPr>
              <w:jc w:val="left"/>
            </w:pPr>
            <w:r>
              <w:t>japanese_oem</w:t>
            </w:r>
          </w:p>
        </w:tc>
        <w:tc>
          <w:tcPr>
            <w:tcW w:type="dxa" w:w="1152"/>
          </w:tcPr>
          <w:p>
            <w:pPr>
              <w:jc w:val="left"/>
            </w:pPr>
            <w:r>
              <w:t>Japan</w:t>
            </w:r>
          </w:p>
        </w:tc>
        <w:tc>
          <w:tcPr>
            <w:tcW w:type="dxa" w:w="1872"/>
          </w:tcPr>
          <w:p>
            <w:pPr>
              <w:jc w:val="left"/>
            </w:pPr>
            <w:r>
              <w:t>980</w:t>
            </w:r>
          </w:p>
        </w:tc>
        <w:tc>
          <w:tcPr>
            <w:tcW w:type="dxa" w:w="3456"/>
          </w:tcPr>
          <w:p>
            <w:pPr>
              <w:jc w:val="left"/>
            </w:pPr>
            <w:r>
              <w:t>30% (Panasonic partnership)</w:t>
            </w:r>
          </w:p>
        </w:tc>
        <w:tc>
          <w:tcPr>
            <w:tcW w:type="dxa" w:w="1296"/>
          </w:tcPr>
          <w:p>
            <w:pPr>
              <w:jc w:val="left"/>
            </w:pPr>
            <w:r>
              <w:t>6 wks</w:t>
            </w:r>
          </w:p>
        </w:tc>
      </w:tr>
    </w:tbl>
    <w:p/>
    <w:p>
      <w:r>
        <w:rPr>
          <w:b/>
          <w:i w:val="0"/>
        </w:rPr>
        <w:t>Production function:</w:t>
      </w:r>
    </w:p>
    <w:p>
      <w:pPr>
        <w:ind w:left="720" w:right="720"/>
        <w:shd w:val="clear" w:color="auto" w:fill="F2F2F2"/>
      </w:pPr>
      <w:r>
        <w:rPr>
          <w:rFonts w:ascii="Courier New" w:hAnsi="Courier New"/>
          <w:sz w:val="20"/>
        </w:rPr>
        <w:t>For each OEM, at each step:</w:t>
        <w:br/>
        <w:br/>
        <w:t xml:space="preserve">  1. Receive deliveries from all 4 Tier-1 agents (proportional to OEM market share)</w:t>
        <w:br/>
        <w:t xml:space="preserve">  2. Leontief constraint:</w:t>
        <w:br/>
        <w:t xml:space="preserve">       producible = min(inv_packs, inv_inverters, inv_motors, inv_harness)</w:t>
        <w:br/>
        <w:t xml:space="preserve">  3. Target production:</w:t>
        <w:br/>
        <w:t xml:space="preserve">       target = min(weekly_demand + 0.15 × backlog,  weekly_target × 1.10)</w:t>
        <w:br/>
        <w:t xml:space="preserve">  4. Actual production:</w:t>
        <w:br/>
        <w:t xml:space="preserve">       production_k = min(target, producible) × shock_multiplier</w:t>
        <w:br/>
        <w:t xml:space="preserve">  5. Consume components:</w:t>
        <w:br/>
        <w:t xml:space="preserve">       inv[c](t+1) = inv[c](t) − production_k   for c ∈ {packs,inverters,motors,harness}</w:t>
        <w:br/>
        <w:t xml:space="preserve">  6. Backlog update:</w:t>
        <w:br/>
        <w:t xml:space="preserve">       backlog(t+1) = max(0, backlog(t) + shortfall − 0.5 × surplus)</w:t>
        <w:br/>
        <w:t xml:space="preserve">  7. Halt detection:</w:t>
        <w:br/>
        <w:t xml:space="preserve">       if production_k &lt; 0.10 × weekly_target: halt_weeks += 1</w:t>
      </w:r>
    </w:p>
    <w:p>
      <w:pPr>
        <w:pStyle w:val="Heading2"/>
        <w:jc w:val="left"/>
      </w:pPr>
      <w:r>
        <w:t>4.5  MarketAgent  (Demand — 6 agents)</w:t>
      </w:r>
    </w:p>
    <w:p>
      <w:r>
        <w:rPr>
          <w:b w:val="0"/>
          <w:i w:val="0"/>
        </w:rPr>
        <w:t>Generates exogenous EV battery demand for each regional market. Demand follows a price-independent trend growth with a non-compounding price-level adjustment applied each week.</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296"/>
            <w:shd w:val="clear" w:color="auto" w:fill="D9E2F3"/>
          </w:tcPr>
          <w:p>
            <w:pPr>
              <w:jc w:val="center"/>
            </w:pPr>
            <w:r>
              <w:rPr>
                <w:b/>
              </w:rPr>
              <w:t>Region</w:t>
            </w:r>
          </w:p>
        </w:tc>
        <w:tc>
          <w:tcPr>
            <w:tcW w:type="dxa" w:w="1296"/>
            <w:shd w:val="clear" w:color="auto" w:fill="D9E2F3"/>
          </w:tcPr>
          <w:p>
            <w:pPr>
              <w:jc w:val="center"/>
            </w:pPr>
            <w:r>
              <w:rPr>
                <w:b/>
              </w:rPr>
              <w:t>GWh 2023</w:t>
            </w:r>
          </w:p>
        </w:tc>
        <w:tc>
          <w:tcPr>
            <w:tcW w:type="dxa" w:w="1440"/>
            <w:shd w:val="clear" w:color="auto" w:fill="D9E2F3"/>
          </w:tcPr>
          <w:p>
            <w:pPr>
              <w:jc w:val="center"/>
            </w:pPr>
            <w:r>
              <w:rPr>
                <w:b/>
              </w:rPr>
              <w:t>YoY Growth</w:t>
            </w:r>
          </w:p>
        </w:tc>
        <w:tc>
          <w:tcPr>
            <w:tcW w:type="dxa" w:w="2016"/>
            <w:shd w:val="clear" w:color="auto" w:fill="D9E2F3"/>
          </w:tcPr>
          <w:p>
            <w:pPr>
              <w:jc w:val="center"/>
            </w:pPr>
            <w:r>
              <w:rPr>
                <w:b/>
              </w:rPr>
              <w:t>Avg kWh/Vehicle</w:t>
            </w:r>
          </w:p>
        </w:tc>
        <w:tc>
          <w:tcPr>
            <w:tcW w:type="dxa" w:w="4032"/>
            <w:shd w:val="clear" w:color="auto" w:fill="D9E2F3"/>
          </w:tcPr>
          <w:p>
            <w:pPr>
              <w:jc w:val="center"/>
            </w:pPr>
            <w:r>
              <w:rPr>
                <w:b/>
              </w:rPr>
              <w:t>Note</w:t>
            </w:r>
          </w:p>
        </w:tc>
      </w:tr>
      <w:tr>
        <w:tc>
          <w:tcPr>
            <w:tcW w:type="dxa" w:w="1296"/>
          </w:tcPr>
          <w:p>
            <w:pPr>
              <w:jc w:val="left"/>
            </w:pPr>
            <w:r>
              <w:t>China</w:t>
            </w:r>
          </w:p>
        </w:tc>
        <w:tc>
          <w:tcPr>
            <w:tcW w:type="dxa" w:w="1296"/>
          </w:tcPr>
          <w:p>
            <w:pPr>
              <w:jc w:val="left"/>
            </w:pPr>
            <w:r>
              <w:t>493 GWh</w:t>
            </w:r>
          </w:p>
        </w:tc>
        <w:tc>
          <w:tcPr>
            <w:tcW w:type="dxa" w:w="1440"/>
          </w:tcPr>
          <w:p>
            <w:pPr>
              <w:jc w:val="left"/>
            </w:pPr>
            <w:r>
              <w:t>+33%/yr</w:t>
            </w:r>
          </w:p>
        </w:tc>
        <w:tc>
          <w:tcPr>
            <w:tcW w:type="dxa" w:w="2016"/>
          </w:tcPr>
          <w:p>
            <w:pPr>
              <w:jc w:val="left"/>
            </w:pPr>
            <w:r>
              <w:t>62 kWh</w:t>
            </w:r>
          </w:p>
        </w:tc>
        <w:tc>
          <w:tcPr>
            <w:tcW w:type="dxa" w:w="4032"/>
          </w:tcPr>
          <w:p>
            <w:pPr>
              <w:jc w:val="left"/>
            </w:pPr>
            <w:r>
              <w:t>IEA GEO 2024</w:t>
            </w:r>
          </w:p>
        </w:tc>
      </w:tr>
      <w:tr>
        <w:tc>
          <w:tcPr>
            <w:tcW w:type="dxa" w:w="1296"/>
          </w:tcPr>
          <w:p>
            <w:pPr>
              <w:jc w:val="left"/>
            </w:pPr>
            <w:r>
              <w:t>Europe</w:t>
            </w:r>
          </w:p>
        </w:tc>
        <w:tc>
          <w:tcPr>
            <w:tcW w:type="dxa" w:w="1296"/>
          </w:tcPr>
          <w:p>
            <w:pPr>
              <w:jc w:val="left"/>
            </w:pPr>
            <w:r>
              <w:t>127 GWh</w:t>
            </w:r>
          </w:p>
        </w:tc>
        <w:tc>
          <w:tcPr>
            <w:tcW w:type="dxa" w:w="1440"/>
          </w:tcPr>
          <w:p>
            <w:pPr>
              <w:jc w:val="left"/>
            </w:pPr>
            <w:r>
              <w:t>+11%/yr</w:t>
            </w:r>
          </w:p>
        </w:tc>
        <w:tc>
          <w:tcPr>
            <w:tcW w:type="dxa" w:w="2016"/>
          </w:tcPr>
          <w:p>
            <w:pPr>
              <w:jc w:val="left"/>
            </w:pPr>
            <w:r>
              <w:t>68 kWh</w:t>
            </w:r>
          </w:p>
        </w:tc>
        <w:tc>
          <w:tcPr>
            <w:tcW w:type="dxa" w:w="4032"/>
          </w:tcPr>
          <w:p>
            <w:pPr>
              <w:jc w:val="left"/>
            </w:pPr>
            <w:r>
              <w:t>Excl. UK</w:t>
            </w:r>
          </w:p>
        </w:tc>
      </w:tr>
      <w:tr>
        <w:tc>
          <w:tcPr>
            <w:tcW w:type="dxa" w:w="1296"/>
          </w:tcPr>
          <w:p>
            <w:pPr>
              <w:jc w:val="left"/>
            </w:pPr>
            <w:r>
              <w:t>UK</w:t>
            </w:r>
          </w:p>
        </w:tc>
        <w:tc>
          <w:tcPr>
            <w:tcW w:type="dxa" w:w="1296"/>
          </w:tcPr>
          <w:p>
            <w:pPr>
              <w:jc w:val="left"/>
            </w:pPr>
            <w:r>
              <w:t>20 GWh</w:t>
            </w:r>
          </w:p>
        </w:tc>
        <w:tc>
          <w:tcPr>
            <w:tcW w:type="dxa" w:w="1440"/>
          </w:tcPr>
          <w:p>
            <w:pPr>
              <w:jc w:val="left"/>
            </w:pPr>
            <w:r>
              <w:t>+28%/yr</w:t>
            </w:r>
          </w:p>
        </w:tc>
        <w:tc>
          <w:tcPr>
            <w:tcW w:type="dxa" w:w="2016"/>
          </w:tcPr>
          <w:p>
            <w:pPr>
              <w:jc w:val="left"/>
            </w:pPr>
            <w:r>
              <w:t>65 kWh</w:t>
            </w:r>
          </w:p>
        </w:tc>
        <w:tc>
          <w:tcPr>
            <w:tcW w:type="dxa" w:w="4032"/>
          </w:tcPr>
          <w:p>
            <w:pPr>
              <w:jc w:val="left"/>
            </w:pPr>
            <w:r>
              <w:t>ZEV mandate 2024; SMMT 2024</w:t>
            </w:r>
          </w:p>
        </w:tc>
      </w:tr>
      <w:tr>
        <w:tc>
          <w:tcPr>
            <w:tcW w:type="dxa" w:w="1296"/>
          </w:tcPr>
          <w:p>
            <w:pPr>
              <w:jc w:val="left"/>
            </w:pPr>
            <w:r>
              <w:t>USA</w:t>
            </w:r>
          </w:p>
        </w:tc>
        <w:tc>
          <w:tcPr>
            <w:tcW w:type="dxa" w:w="1296"/>
          </w:tcPr>
          <w:p>
            <w:pPr>
              <w:jc w:val="left"/>
            </w:pPr>
            <w:r>
              <w:t>104 GWh</w:t>
            </w:r>
          </w:p>
        </w:tc>
        <w:tc>
          <w:tcPr>
            <w:tcW w:type="dxa" w:w="1440"/>
          </w:tcPr>
          <w:p>
            <w:pPr>
              <w:jc w:val="left"/>
            </w:pPr>
            <w:r>
              <w:t>+35%/yr</w:t>
            </w:r>
          </w:p>
        </w:tc>
        <w:tc>
          <w:tcPr>
            <w:tcW w:type="dxa" w:w="2016"/>
          </w:tcPr>
          <w:p>
            <w:pPr>
              <w:jc w:val="left"/>
            </w:pPr>
            <w:r>
              <w:t>85 kWh</w:t>
            </w:r>
          </w:p>
        </w:tc>
        <w:tc>
          <w:tcPr>
            <w:tcW w:type="dxa" w:w="4032"/>
          </w:tcPr>
          <w:p>
            <w:pPr>
              <w:jc w:val="left"/>
            </w:pPr>
            <w:r>
              <w:t>IEA GEO 2024</w:t>
            </w:r>
          </w:p>
        </w:tc>
      </w:tr>
      <w:tr>
        <w:tc>
          <w:tcPr>
            <w:tcW w:type="dxa" w:w="1296"/>
          </w:tcPr>
          <w:p>
            <w:pPr>
              <w:jc w:val="left"/>
            </w:pPr>
            <w:r>
              <w:t>Japan</w:t>
            </w:r>
          </w:p>
        </w:tc>
        <w:tc>
          <w:tcPr>
            <w:tcW w:type="dxa" w:w="1296"/>
          </w:tcPr>
          <w:p>
            <w:pPr>
              <w:jc w:val="left"/>
            </w:pPr>
            <w:r>
              <w:t>14 GWh</w:t>
            </w:r>
          </w:p>
        </w:tc>
        <w:tc>
          <w:tcPr>
            <w:tcW w:type="dxa" w:w="1440"/>
          </w:tcPr>
          <w:p>
            <w:pPr>
              <w:jc w:val="left"/>
            </w:pPr>
            <w:r>
              <w:t xml:space="preserve"> +6%/yr</w:t>
            </w:r>
          </w:p>
        </w:tc>
        <w:tc>
          <w:tcPr>
            <w:tcW w:type="dxa" w:w="2016"/>
          </w:tcPr>
          <w:p>
            <w:pPr>
              <w:jc w:val="left"/>
            </w:pPr>
            <w:r>
              <w:t>48 kWh</w:t>
            </w:r>
          </w:p>
        </w:tc>
        <w:tc>
          <w:tcPr>
            <w:tcW w:type="dxa" w:w="4032"/>
          </w:tcPr>
          <w:p>
            <w:pPr>
              <w:jc w:val="left"/>
            </w:pPr>
            <w:r>
              <w:t>Japan + Korea combined</w:t>
            </w:r>
          </w:p>
        </w:tc>
      </w:tr>
      <w:tr>
        <w:tc>
          <w:tcPr>
            <w:tcW w:type="dxa" w:w="1296"/>
          </w:tcPr>
          <w:p>
            <w:pPr>
              <w:jc w:val="left"/>
            </w:pPr>
            <w:r>
              <w:t>ROW</w:t>
            </w:r>
          </w:p>
        </w:tc>
        <w:tc>
          <w:tcPr>
            <w:tcW w:type="dxa" w:w="1296"/>
          </w:tcPr>
          <w:p>
            <w:pPr>
              <w:jc w:val="left"/>
            </w:pPr>
            <w:r>
              <w:t>64 GWh</w:t>
            </w:r>
          </w:p>
        </w:tc>
        <w:tc>
          <w:tcPr>
            <w:tcW w:type="dxa" w:w="1440"/>
          </w:tcPr>
          <w:p>
            <w:pPr>
              <w:jc w:val="left"/>
            </w:pPr>
            <w:r>
              <w:t>+42%/yr</w:t>
            </w:r>
          </w:p>
        </w:tc>
        <w:tc>
          <w:tcPr>
            <w:tcW w:type="dxa" w:w="2016"/>
          </w:tcPr>
          <w:p>
            <w:pPr>
              <w:jc w:val="left"/>
            </w:pPr>
            <w:r>
              <w:t>55 kWh</w:t>
            </w:r>
          </w:p>
        </w:tc>
        <w:tc>
          <w:tcPr>
            <w:tcW w:type="dxa" w:w="4032"/>
          </w:tcPr>
          <w:p>
            <w:pPr>
              <w:jc w:val="left"/>
            </w:pPr>
            <w:r>
              <w:t>SE Asia, LatAm, Middle East</w:t>
            </w:r>
          </w:p>
        </w:tc>
      </w:tr>
    </w:tbl>
    <w:p/>
    <w:p>
      <w:r>
        <w:rPr>
          <w:b/>
          <w:i w:val="0"/>
        </w:rPr>
        <w:t>Decision rule:</w:t>
      </w:r>
    </w:p>
    <w:p>
      <w:pPr>
        <w:ind w:left="720" w:right="720"/>
        <w:shd w:val="clear" w:color="auto" w:fill="F2F2F2"/>
      </w:pPr>
      <w:r>
        <w:rPr>
          <w:rFonts w:ascii="Courier New" w:hAnsi="Courier New"/>
          <w:sz w:val="20"/>
        </w:rPr>
        <w:t>Weekly growth:</w:t>
        <w:br/>
        <w:t xml:space="preserve">  _trend_demand(t+1) = _trend_demand(t) × (1 + weekly_growth_rate)</w:t>
        <w:br/>
        <w:t xml:space="preserve">  weekly_growth_rate = (1 + yoy_growth)^(1/52) − 1</w:t>
        <w:br/>
        <w:br/>
        <w:t>Price-level adjustment (non-compounding):</w:t>
        <w:br/>
        <w:t xml:space="preserve">  price_signal  = SD_model.get_price_signal()</w:t>
        <w:br/>
        <w:t xml:space="preserve">  price_level   = clip(1.0 + (−0.30) × (price_signal − 1.0),  0.50, 1.20)</w:t>
        <w:br/>
        <w:br/>
        <w:t>Observed demand:</w:t>
        <w:br/>
        <w:t xml:space="preserve">  weekly_demand_gwh(t) = _trend_demand(t+1) × price_level(t)</w:t>
        <w:br/>
        <w:br/>
        <w:t xml:space="preserve">  NOTE: price_level is applied to the TREND (not the previous week's demand),</w:t>
        <w:br/>
        <w:t xml:space="preserve">  preventing the price effect from compounding multiplicatively over time.</w:t>
      </w:r>
    </w:p>
    <w:p>
      <w:r>
        <w:br w:type="page"/>
      </w:r>
    </w:p>
    <w:p>
      <w:pPr>
        <w:pStyle w:val="Heading1"/>
        <w:jc w:val="left"/>
      </w:pPr>
      <w:r>
        <w:t>5.  Hybrid Coupling: ABM ↔ SD</w:t>
      </w:r>
    </w:p>
    <w:p>
      <w:r>
        <w:rPr>
          <w:b w:val="0"/>
          <w:i w:val="0"/>
        </w:rPr>
        <w:t>The hybrid model architecture ensures that the SD and ABM layers remain tightly coupled without either layer dominating the other. Coupling operates in both directions each week.</w:t>
      </w:r>
    </w:p>
    <w:p>
      <w:pPr>
        <w:pStyle w:val="Heading2"/>
        <w:jc w:val="left"/>
      </w:pPr>
      <w:r>
        <w:t>5.1  SD → ABM (Before Agent Steps)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pPr>
              <w:jc w:val="center"/>
            </w:pPr>
            <w:r>
              <w:rPr>
                <w:b/>
              </w:rPr>
              <w:t>Signal</w:t>
            </w:r>
          </w:p>
        </w:tc>
        <w:tc>
          <w:tcPr>
            <w:tcW w:type="dxa" w:w="2160"/>
            <w:shd w:val="clear" w:color="auto" w:fill="D9E2F3"/>
          </w:tcPr>
          <w:p>
            <w:pPr>
              <w:jc w:val="center"/>
            </w:pPr>
            <w:r>
              <w:rPr>
                <w:b/>
              </w:rPr>
              <w:t>SD Source</w:t>
            </w:r>
          </w:p>
        </w:tc>
        <w:tc>
          <w:tcPr>
            <w:tcW w:type="dxa" w:w="2592"/>
            <w:shd w:val="clear" w:color="auto" w:fill="D9E2F3"/>
          </w:tcPr>
          <w:p>
            <w:pPr>
              <w:jc w:val="center"/>
            </w:pPr>
            <w:r>
              <w:rPr>
                <w:b/>
              </w:rPr>
              <w:t>ABM Recipient</w:t>
            </w:r>
          </w:p>
        </w:tc>
        <w:tc>
          <w:tcPr>
            <w:tcW w:type="dxa" w:w="3168"/>
            <w:shd w:val="clear" w:color="auto" w:fill="D9E2F3"/>
          </w:tcPr>
          <w:p>
            <w:pPr>
              <w:jc w:val="center"/>
            </w:pPr>
            <w:r>
              <w:rPr>
                <w:b/>
              </w:rPr>
              <w:t>Effect</w:t>
            </w:r>
          </w:p>
        </w:tc>
      </w:tr>
      <w:tr>
        <w:tc>
          <w:tcPr>
            <w:tcW w:type="dxa" w:w="2160"/>
          </w:tcPr>
          <w:p>
            <w:pPr>
              <w:jc w:val="left"/>
            </w:pPr>
            <w:r>
              <w:t>input_fractions[mineral]</w:t>
            </w:r>
          </w:p>
        </w:tc>
        <w:tc>
          <w:tcPr>
            <w:tcW w:type="dxa" w:w="2160"/>
          </w:tcPr>
          <w:p>
            <w:pPr>
              <w:jc w:val="left"/>
            </w:pPr>
            <w:r>
              <w:t>stocks[mineral] / target</w:t>
            </w:r>
          </w:p>
        </w:tc>
        <w:tc>
          <w:tcPr>
            <w:tcW w:type="dxa" w:w="2592"/>
          </w:tcPr>
          <w:p>
            <w:pPr>
              <w:jc w:val="left"/>
            </w:pPr>
            <w:r>
              <w:t>CellManufacturerAgent, Tier1SupplierAgent</w:t>
            </w:r>
          </w:p>
        </w:tc>
        <w:tc>
          <w:tcPr>
            <w:tcW w:type="dxa" w:w="3168"/>
          </w:tcPr>
          <w:p>
            <w:pPr>
              <w:jc w:val="left"/>
            </w:pPr>
            <w:r>
              <w:t>Leontief constraint on production</w:t>
            </w:r>
          </w:p>
        </w:tc>
      </w:tr>
      <w:tr>
        <w:tc>
          <w:tcPr>
            <w:tcW w:type="dxa" w:w="2160"/>
          </w:tcPr>
          <w:p>
            <w:pPr>
              <w:jc w:val="left"/>
            </w:pPr>
            <w:r>
              <w:t>prices[cobalt]</w:t>
            </w:r>
          </w:p>
        </w:tc>
        <w:tc>
          <w:tcPr>
            <w:tcW w:type="dxa" w:w="2160"/>
          </w:tcPr>
          <w:p>
            <w:pPr>
              <w:jc w:val="left"/>
            </w:pPr>
            <w:r>
              <w:t>_step_prices()</w:t>
            </w:r>
          </w:p>
        </w:tc>
        <w:tc>
          <w:tcPr>
            <w:tcW w:type="dxa" w:w="2592"/>
          </w:tcPr>
          <w:p>
            <w:pPr>
              <w:jc w:val="left"/>
            </w:pPr>
            <w:r>
              <w:t>CellManufacturerAgent</w:t>
            </w:r>
          </w:p>
        </w:tc>
        <w:tc>
          <w:tcPr>
            <w:tcW w:type="dxa" w:w="3168"/>
          </w:tcPr>
          <w:p>
            <w:pPr>
              <w:jc w:val="left"/>
            </w:pPr>
            <w:r>
              <w:t>Reduces effective NMC fraction (chemistry adaptation)</w:t>
            </w:r>
          </w:p>
        </w:tc>
      </w:tr>
      <w:tr>
        <w:tc>
          <w:tcPr>
            <w:tcW w:type="dxa" w:w="2160"/>
          </w:tcPr>
          <w:p>
            <w:pPr>
              <w:jc w:val="left"/>
            </w:pPr>
            <w:r>
              <w:t>price_signal</w:t>
            </w:r>
          </w:p>
        </w:tc>
        <w:tc>
          <w:tcPr>
            <w:tcW w:type="dxa" w:w="2160"/>
          </w:tcPr>
          <w:p>
            <w:pPr>
              <w:jc w:val="left"/>
            </w:pPr>
            <w:r>
              <w:t>_battery_price_signal()</w:t>
            </w:r>
          </w:p>
        </w:tc>
        <w:tc>
          <w:tcPr>
            <w:tcW w:type="dxa" w:w="2592"/>
          </w:tcPr>
          <w:p>
            <w:pPr>
              <w:jc w:val="left"/>
            </w:pPr>
            <w:r>
              <w:t>MarketAgent</w:t>
            </w:r>
          </w:p>
        </w:tc>
        <w:tc>
          <w:tcPr>
            <w:tcW w:type="dxa" w:w="3168"/>
          </w:tcPr>
          <w:p>
            <w:pPr>
              <w:jc w:val="left"/>
            </w:pPr>
            <w:r>
              <w:t>Adjusts weekly demand via price-level factor</w:t>
            </w:r>
          </w:p>
        </w:tc>
      </w:tr>
      <w:tr>
        <w:tc>
          <w:tcPr>
            <w:tcW w:type="dxa" w:w="2160"/>
          </w:tcPr>
          <w:p>
            <w:pPr>
              <w:jc w:val="left"/>
            </w:pPr>
            <w:r>
              <w:t>lfp_share</w:t>
            </w:r>
          </w:p>
        </w:tc>
        <w:tc>
          <w:tcPr>
            <w:tcW w:type="dxa" w:w="2160"/>
          </w:tcPr>
          <w:p>
            <w:pPr>
              <w:jc w:val="left"/>
            </w:pPr>
            <w:r>
              <w:t>_step_chemistry_mix()</w:t>
            </w:r>
          </w:p>
        </w:tc>
        <w:tc>
          <w:tcPr>
            <w:tcW w:type="dxa" w:w="2592"/>
          </w:tcPr>
          <w:p>
            <w:pPr>
              <w:jc w:val="left"/>
            </w:pPr>
            <w:r>
              <w:t>Hybrid _collect_flows()</w:t>
            </w:r>
          </w:p>
        </w:tc>
        <w:tc>
          <w:tcPr>
            <w:tcW w:type="dxa" w:w="3168"/>
          </w:tcPr>
          <w:p>
            <w:pPr>
              <w:jc w:val="left"/>
            </w:pPr>
            <w:r>
              <w:t>Modulates cobalt outflow calculation</w:t>
            </w:r>
          </w:p>
        </w:tc>
      </w:tr>
    </w:tbl>
    <w:p>
      <w:pPr>
        <w:pStyle w:val="Heading2"/>
        <w:jc w:val="left"/>
      </w:pPr>
      <w:r>
        <w:t>5.2  ABM → SD (After Agent Steps)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592"/>
            <w:shd w:val="clear" w:color="auto" w:fill="D9E2F3"/>
          </w:tcPr>
          <w:p>
            <w:pPr>
              <w:jc w:val="center"/>
            </w:pPr>
            <w:r>
              <w:rPr>
                <w:b/>
              </w:rPr>
              <w:t>Flow Key</w:t>
            </w:r>
          </w:p>
        </w:tc>
        <w:tc>
          <w:tcPr>
            <w:tcW w:type="dxa" w:w="2592"/>
            <w:shd w:val="clear" w:color="auto" w:fill="D9E2F3"/>
          </w:tcPr>
          <w:p>
            <w:pPr>
              <w:jc w:val="center"/>
            </w:pPr>
            <w:r>
              <w:rPr>
                <w:b/>
              </w:rPr>
              <w:t>ABM Source</w:t>
            </w:r>
          </w:p>
        </w:tc>
        <w:tc>
          <w:tcPr>
            <w:tcW w:type="dxa" w:w="2304"/>
            <w:shd w:val="clear" w:color="auto" w:fill="D9E2F3"/>
          </w:tcPr>
          <w:p>
            <w:pPr>
              <w:jc w:val="center"/>
            </w:pPr>
            <w:r>
              <w:rPr>
                <w:b/>
              </w:rPr>
              <w:t>SD Destination</w:t>
            </w:r>
          </w:p>
        </w:tc>
        <w:tc>
          <w:tcPr>
            <w:tcW w:type="dxa" w:w="1728"/>
            <w:shd w:val="clear" w:color="auto" w:fill="D9E2F3"/>
          </w:tcPr>
          <w:p>
            <w:pPr>
              <w:jc w:val="center"/>
            </w:pPr>
            <w:r>
              <w:rPr>
                <w:b/>
              </w:rPr>
              <w:t>Unit</w:t>
            </w:r>
          </w:p>
        </w:tc>
      </w:tr>
      <w:tr>
        <w:tc>
          <w:tcPr>
            <w:tcW w:type="dxa" w:w="2592"/>
          </w:tcPr>
          <w:p>
            <w:pPr>
              <w:jc w:val="left"/>
            </w:pPr>
            <w:r>
              <w:t>lithium_in / out</w:t>
            </w:r>
          </w:p>
        </w:tc>
        <w:tc>
          <w:tcPr>
            <w:tcW w:type="dxa" w:w="2592"/>
          </w:tcPr>
          <w:p>
            <w:pPr>
              <w:jc w:val="left"/>
            </w:pPr>
            <w:r>
              <w:t>MineralSupplierAgents</w:t>
            </w:r>
          </w:p>
        </w:tc>
        <w:tc>
          <w:tcPr>
            <w:tcW w:type="dxa" w:w="2304"/>
          </w:tcPr>
          <w:p>
            <w:pPr>
              <w:jc w:val="left"/>
            </w:pPr>
            <w:r>
              <w:t>stocks[lithium]</w:t>
            </w:r>
          </w:p>
        </w:tc>
        <w:tc>
          <w:tcPr>
            <w:tcW w:type="dxa" w:w="1728"/>
          </w:tcPr>
          <w:p>
            <w:pPr>
              <w:jc w:val="left"/>
            </w:pPr>
            <w:r>
              <w:t>fraction of baseline</w:t>
            </w:r>
          </w:p>
        </w:tc>
      </w:tr>
      <w:tr>
        <w:tc>
          <w:tcPr>
            <w:tcW w:type="dxa" w:w="2592"/>
          </w:tcPr>
          <w:p>
            <w:pPr>
              <w:jc w:val="left"/>
            </w:pPr>
            <w:r>
              <w:t>cobalt_in / out</w:t>
            </w:r>
          </w:p>
        </w:tc>
        <w:tc>
          <w:tcPr>
            <w:tcW w:type="dxa" w:w="2592"/>
          </w:tcPr>
          <w:p>
            <w:pPr>
              <w:jc w:val="left"/>
            </w:pPr>
            <w:r>
              <w:t>MineralSupplierAgents + chemistry mix</w:t>
            </w:r>
          </w:p>
        </w:tc>
        <w:tc>
          <w:tcPr>
            <w:tcW w:type="dxa" w:w="2304"/>
          </w:tcPr>
          <w:p>
            <w:pPr>
              <w:jc w:val="left"/>
            </w:pPr>
            <w:r>
              <w:t>stocks[cobalt]</w:t>
            </w:r>
          </w:p>
        </w:tc>
        <w:tc>
          <w:tcPr>
            <w:tcW w:type="dxa" w:w="1728"/>
          </w:tcPr>
          <w:p>
            <w:pPr>
              <w:jc w:val="left"/>
            </w:pPr>
            <w:r>
              <w:t>fraction of baseline</w:t>
            </w:r>
          </w:p>
        </w:tc>
      </w:tr>
      <w:tr>
        <w:tc>
          <w:tcPr>
            <w:tcW w:type="dxa" w:w="2592"/>
          </w:tcPr>
          <w:p>
            <w:pPr>
              <w:jc w:val="left"/>
            </w:pPr>
            <w:r>
              <w:t>graphite_in / out</w:t>
            </w:r>
          </w:p>
        </w:tc>
        <w:tc>
          <w:tcPr>
            <w:tcW w:type="dxa" w:w="2592"/>
          </w:tcPr>
          <w:p>
            <w:pPr>
              <w:jc w:val="left"/>
            </w:pPr>
            <w:r>
              <w:t>MineralSupplierAgents</w:t>
            </w:r>
          </w:p>
        </w:tc>
        <w:tc>
          <w:tcPr>
            <w:tcW w:type="dxa" w:w="2304"/>
          </w:tcPr>
          <w:p>
            <w:pPr>
              <w:jc w:val="left"/>
            </w:pPr>
            <w:r>
              <w:t>stocks[graphite]</w:t>
            </w:r>
          </w:p>
        </w:tc>
        <w:tc>
          <w:tcPr>
            <w:tcW w:type="dxa" w:w="1728"/>
          </w:tcPr>
          <w:p>
            <w:pPr>
              <w:jc w:val="left"/>
            </w:pPr>
            <w:r>
              <w:t>fraction of baseline</w:t>
            </w:r>
          </w:p>
        </w:tc>
      </w:tr>
      <w:tr>
        <w:tc>
          <w:tcPr>
            <w:tcW w:type="dxa" w:w="2592"/>
          </w:tcPr>
          <w:p>
            <w:pPr>
              <w:jc w:val="left"/>
            </w:pPr>
            <w:r>
              <w:t>ree_in / out</w:t>
            </w:r>
          </w:p>
        </w:tc>
        <w:tc>
          <w:tcPr>
            <w:tcW w:type="dxa" w:w="2592"/>
          </w:tcPr>
          <w:p>
            <w:pPr>
              <w:jc w:val="left"/>
            </w:pPr>
            <w:r>
              <w:t>MineralSupplierAgents + motor output</w:t>
            </w:r>
          </w:p>
        </w:tc>
        <w:tc>
          <w:tcPr>
            <w:tcW w:type="dxa" w:w="2304"/>
          </w:tcPr>
          <w:p>
            <w:pPr>
              <w:jc w:val="left"/>
            </w:pPr>
            <w:r>
              <w:t>stocks[ree]</w:t>
            </w:r>
          </w:p>
        </w:tc>
        <w:tc>
          <w:tcPr>
            <w:tcW w:type="dxa" w:w="1728"/>
          </w:tcPr>
          <w:p>
            <w:pPr>
              <w:jc w:val="left"/>
            </w:pPr>
            <w:r>
              <w:t>fraction of baseline</w:t>
            </w:r>
          </w:p>
        </w:tc>
      </w:tr>
      <w:tr>
        <w:tc>
          <w:tcPr>
            <w:tcW w:type="dxa" w:w="2592"/>
          </w:tcPr>
          <w:p>
            <w:pPr>
              <w:jc w:val="left"/>
            </w:pPr>
            <w:r>
              <w:t>sic_wafer_in/out</w:t>
            </w:r>
          </w:p>
        </w:tc>
        <w:tc>
          <w:tcPr>
            <w:tcW w:type="dxa" w:w="2592"/>
          </w:tcPr>
          <w:p>
            <w:pPr>
              <w:jc w:val="left"/>
            </w:pPr>
            <w:r>
              <w:t>MineralSupplierAgents + inverter output</w:t>
            </w:r>
          </w:p>
        </w:tc>
        <w:tc>
          <w:tcPr>
            <w:tcW w:type="dxa" w:w="2304"/>
          </w:tcPr>
          <w:p>
            <w:pPr>
              <w:jc w:val="left"/>
            </w:pPr>
            <w:r>
              <w:t>stocks[sic_wafer]</w:t>
            </w:r>
          </w:p>
        </w:tc>
        <w:tc>
          <w:tcPr>
            <w:tcW w:type="dxa" w:w="1728"/>
          </w:tcPr>
          <w:p>
            <w:pPr>
              <w:jc w:val="left"/>
            </w:pPr>
            <w:r>
              <w:t>fraction of baseline</w:t>
            </w:r>
          </w:p>
        </w:tc>
      </w:tr>
      <w:tr>
        <w:tc>
          <w:tcPr>
            <w:tcW w:type="dxa" w:w="2592"/>
          </w:tcPr>
          <w:p>
            <w:pPr>
              <w:jc w:val="left"/>
            </w:pPr>
            <w:r>
              <w:t>cells_in / out</w:t>
            </w:r>
          </w:p>
        </w:tc>
        <w:tc>
          <w:tcPr>
            <w:tcW w:type="dxa" w:w="2592"/>
          </w:tcPr>
          <w:p>
            <w:pPr>
              <w:jc w:val="left"/>
            </w:pPr>
            <w:r>
              <w:t>CellManufacturerAgents / pack agent</w:t>
            </w:r>
          </w:p>
        </w:tc>
        <w:tc>
          <w:tcPr>
            <w:tcW w:type="dxa" w:w="2304"/>
          </w:tcPr>
          <w:p>
            <w:pPr>
              <w:jc w:val="left"/>
            </w:pPr>
            <w:r>
              <w:t>stocks[cells]</w:t>
            </w:r>
          </w:p>
        </w:tc>
        <w:tc>
          <w:tcPr>
            <w:tcW w:type="dxa" w:w="1728"/>
          </w:tcPr>
          <w:p>
            <w:pPr>
              <w:jc w:val="left"/>
            </w:pPr>
            <w:r>
              <w:t>GWh</w:t>
            </w:r>
          </w:p>
        </w:tc>
      </w:tr>
      <w:tr>
        <w:tc>
          <w:tcPr>
            <w:tcW w:type="dxa" w:w="2592"/>
          </w:tcPr>
          <w:p>
            <w:pPr>
              <w:jc w:val="left"/>
            </w:pPr>
            <w:r>
              <w:t>packs/inv/motor/harness _in/_out</w:t>
            </w:r>
          </w:p>
        </w:tc>
        <w:tc>
          <w:tcPr>
            <w:tcW w:type="dxa" w:w="2592"/>
          </w:tcPr>
          <w:p>
            <w:pPr>
              <w:jc w:val="left"/>
            </w:pPr>
            <w:r>
              <w:t>Tier1SupplierAgents / OEM production</w:t>
            </w:r>
          </w:p>
        </w:tc>
        <w:tc>
          <w:tcPr>
            <w:tcW w:type="dxa" w:w="2304"/>
          </w:tcPr>
          <w:p>
            <w:pPr>
              <w:jc w:val="left"/>
            </w:pPr>
            <w:r>
              <w:t>stocks[packs…]</w:t>
            </w:r>
          </w:p>
        </w:tc>
        <w:tc>
          <w:tcPr>
            <w:tcW w:type="dxa" w:w="1728"/>
          </w:tcPr>
          <w:p>
            <w:pPr>
              <w:jc w:val="left"/>
            </w:pPr>
            <w:r>
              <w:t>k veh-equiv</w:t>
            </w:r>
          </w:p>
        </w:tc>
      </w:tr>
      <w:tr>
        <w:tc>
          <w:tcPr>
            <w:tcW w:type="dxa" w:w="2592"/>
          </w:tcPr>
          <w:p>
            <w:pPr>
              <w:jc w:val="left"/>
            </w:pPr>
            <w:r>
              <w:t>cell_capacity_gwh_yr</w:t>
            </w:r>
          </w:p>
        </w:tc>
        <w:tc>
          <w:tcPr>
            <w:tcW w:type="dxa" w:w="2592"/>
          </w:tcPr>
          <w:p>
            <w:pPr>
              <w:jc w:val="left"/>
            </w:pPr>
            <w:r>
              <w:t>sum of cell agent capacities × 52</w:t>
            </w:r>
          </w:p>
        </w:tc>
        <w:tc>
          <w:tcPr>
            <w:tcW w:type="dxa" w:w="2304"/>
          </w:tcPr>
          <w:p>
            <w:pPr>
              <w:jc w:val="left"/>
            </w:pPr>
            <w:r>
              <w:t>cell_capacity (sync)</w:t>
            </w:r>
          </w:p>
        </w:tc>
        <w:tc>
          <w:tcPr>
            <w:tcW w:type="dxa" w:w="1728"/>
          </w:tcPr>
          <w:p>
            <w:pPr>
              <w:jc w:val="left"/>
            </w:pPr>
            <w:r>
              <w:t>GWh/yr</w:t>
            </w:r>
          </w:p>
        </w:tc>
      </w:tr>
      <w:tr>
        <w:tc>
          <w:tcPr>
            <w:tcW w:type="dxa" w:w="2592"/>
          </w:tcPr>
          <w:p>
            <w:pPr>
              <w:jc w:val="left"/>
            </w:pPr>
            <w:r>
              <w:t>total_oem_prod_k</w:t>
            </w:r>
          </w:p>
        </w:tc>
        <w:tc>
          <w:tcPr>
            <w:tcW w:type="dxa" w:w="2592"/>
          </w:tcPr>
          <w:p>
            <w:pPr>
              <w:jc w:val="left"/>
            </w:pPr>
            <w:r>
              <w:t>sum OEM production</w:t>
            </w:r>
          </w:p>
        </w:tc>
        <w:tc>
          <w:tcPr>
            <w:tcW w:type="dxa" w:w="2304"/>
          </w:tcPr>
          <w:p>
            <w:pPr>
              <w:jc w:val="left"/>
            </w:pPr>
            <w:r>
              <w:t>OEM backlog update</w:t>
            </w:r>
          </w:p>
        </w:tc>
        <w:tc>
          <w:tcPr>
            <w:tcW w:type="dxa" w:w="1728"/>
          </w:tcPr>
          <w:p>
            <w:pPr>
              <w:jc w:val="left"/>
            </w:pPr>
            <w:r>
              <w:t>k vehicles/wk</w:t>
            </w:r>
          </w:p>
        </w:tc>
      </w:tr>
      <w:tr>
        <w:tc>
          <w:tcPr>
            <w:tcW w:type="dxa" w:w="2592"/>
          </w:tcPr>
          <w:p>
            <w:pPr>
              <w:jc w:val="left"/>
            </w:pPr>
            <w:r>
              <w:t>total_demand_k</w:t>
            </w:r>
          </w:p>
        </w:tc>
        <w:tc>
          <w:tcPr>
            <w:tcW w:type="dxa" w:w="2592"/>
          </w:tcPr>
          <w:p>
            <w:pPr>
              <w:jc w:val="left"/>
            </w:pPr>
            <w:r>
              <w:t>sum market demand (k veh)</w:t>
            </w:r>
          </w:p>
        </w:tc>
        <w:tc>
          <w:tcPr>
            <w:tcW w:type="dxa" w:w="2304"/>
          </w:tcPr>
          <w:p>
            <w:pPr>
              <w:jc w:val="left"/>
            </w:pPr>
            <w:r>
              <w:t>Bullwhip + backlog</w:t>
            </w:r>
          </w:p>
        </w:tc>
        <w:tc>
          <w:tcPr>
            <w:tcW w:type="dxa" w:w="1728"/>
          </w:tcPr>
          <w:p>
            <w:pPr>
              <w:jc w:val="left"/>
            </w:pPr>
            <w:r>
              <w:t>k vehicles/wk</w:t>
            </w:r>
          </w:p>
        </w:tc>
      </w:tr>
      <w:tr>
        <w:tc>
          <w:tcPr>
            <w:tcW w:type="dxa" w:w="2592"/>
          </w:tcPr>
          <w:p>
            <w:pPr>
              <w:jc w:val="left"/>
            </w:pPr>
            <w:r>
              <w:t>order_rate_k</w:t>
            </w:r>
          </w:p>
        </w:tc>
        <w:tc>
          <w:tcPr>
            <w:tcW w:type="dxa" w:w="2592"/>
          </w:tcPr>
          <w:p>
            <w:pPr>
              <w:jc w:val="left"/>
            </w:pPr>
            <w:r>
              <w:t>sum of Tier-1 pipeline additions</w:t>
            </w:r>
          </w:p>
        </w:tc>
        <w:tc>
          <w:tcPr>
            <w:tcW w:type="dxa" w:w="2304"/>
          </w:tcPr>
          <w:p>
            <w:pPr>
              <w:jc w:val="left"/>
            </w:pPr>
            <w:r>
              <w:t>Bullwhip numerator</w:t>
            </w:r>
          </w:p>
        </w:tc>
        <w:tc>
          <w:tcPr>
            <w:tcW w:type="dxa" w:w="1728"/>
          </w:tcPr>
          <w:p>
            <w:pPr>
              <w:jc w:val="left"/>
            </w:pPr>
            <w:r>
              <w:t>k units/wk</w:t>
            </w:r>
          </w:p>
        </w:tc>
      </w:tr>
    </w:tbl>
    <w:p>
      <w:pPr>
        <w:pStyle w:val="Heading2"/>
        <w:jc w:val="left"/>
      </w:pPr>
      <w:r>
        <w:t>5.3  Step Execution Order</w:t>
      </w:r>
    </w:p>
    <w:p>
      <w:r>
        <w:rPr>
          <w:b w:val="0"/>
          <w:i w:val="0"/>
        </w:rPr>
        <w:t>The strict ordering ensures that each agent uses the most recent SD state and that the SD model receives the fully updated agent outputs before advancing its own stocks:</w:t>
      </w:r>
    </w:p>
    <w:p>
      <w:pPr>
        <w:ind w:left="720" w:right="720"/>
        <w:shd w:val="clear" w:color="auto" w:fill="F2F2F2"/>
      </w:pPr>
      <w:r>
        <w:rPr>
          <w:rFonts w:ascii="Courier New" w:hAnsi="Courier New"/>
          <w:sz w:val="20"/>
        </w:rPr>
        <w:t>WEEK t:</w:t>
        <w:br/>
        <w:t xml:space="preserve">  1.  apply_shocks()                         [inject exogenous disruptions]</w:t>
        <w:br/>
        <w:t xml:space="preserve">  2.  sd.compute_input_fractions()            [SD → ABM: availability signals]</w:t>
        <w:br/>
        <w:t xml:space="preserve">  3.  mineral_agents.step()                   [ABM Tier 1]</w:t>
        <w:br/>
        <w:t xml:space="preserve">  4.  cell_agents.step()                      [ABM Tier 2]</w:t>
        <w:br/>
        <w:t xml:space="preserve">  5.  tier1_agents.step()                     [ABM Tier 3]</w:t>
        <w:br/>
        <w:t xml:space="preserve">  6.  oem_agents.step()                       [ABM Tier 4]</w:t>
        <w:br/>
        <w:t xml:space="preserve">  7.  market_agents.step()                    [ABM Demand]</w:t>
        <w:br/>
        <w:t xml:space="preserve">  8.  flows = _collect_flows()                [aggregate ABM outputs]</w:t>
        <w:br/>
        <w:t xml:space="preserve">  9.  sd.update(flows)                        [ABM → SD: update all stocks]</w:t>
        <w:br/>
        <w:t xml:space="preserve">       ↳ _step_prices()                       [F1: price formation]</w:t>
        <w:br/>
        <w:t xml:space="preserve">       ↳ _step_chemistry_mix()                [F2: LFP substitution]</w:t>
        <w:br/>
        <w:t xml:space="preserve">       ↳ _step_cell_capacity(flows)           [F3: capacity investment]</w:t>
        <w:br/>
        <w:t xml:space="preserve">       ↳ _step_demand_and_backlog(flows)      [F4: demand dynamics]</w:t>
        <w:br/>
        <w:t xml:space="preserve">       ↳ _step_bullwhip(flows)               [F5: order amplification]</w:t>
        <w:br/>
        <w:t xml:space="preserve"> 10.  sd.record()                             [snapshot SD state]</w:t>
        <w:br/>
        <w:t xml:space="preserve"> 11.  _record_metrics()                       [snapshot all metrics → DataFrame]</w:t>
      </w:r>
    </w:p>
    <w:p>
      <w:r>
        <w:br w:type="page"/>
      </w:r>
    </w:p>
    <w:p>
      <w:pPr>
        <w:pStyle w:val="Heading1"/>
        <w:jc w:val="left"/>
      </w:pPr>
      <w:r>
        <w:t>6.  Financial Calibration from Listed Companies</w:t>
      </w:r>
    </w:p>
    <w:p>
      <w:r>
        <w:rPr>
          <w:b w:val="0"/>
          <w:i w:val="0"/>
        </w:rPr>
        <w:t>A core contribution of this model is the calibration of agent behavioural parameters from real listed-company financial data. For each model agent, a set of peer companies is identified from the corresponding supply-chain tier. Five years of Yahoo Finance fundamentals are retrieved and used to compute four behavioural multipliers.</w:t>
      </w:r>
    </w:p>
    <w:p>
      <w:pPr>
        <w:pStyle w:val="Heading2"/>
        <w:jc w:val="left"/>
      </w:pPr>
      <w:r>
        <w:t>6.1  Financial Profile Multipliers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304"/>
            <w:shd w:val="clear" w:color="auto" w:fill="D9E2F3"/>
          </w:tcPr>
          <w:p>
            <w:pPr>
              <w:jc w:val="center"/>
            </w:pPr>
            <w:r>
              <w:rPr>
                <w:b/>
              </w:rPr>
              <w:t>Multiplier</w:t>
            </w:r>
          </w:p>
        </w:tc>
        <w:tc>
          <w:tcPr>
            <w:tcW w:type="dxa" w:w="2592"/>
            <w:shd w:val="clear" w:color="auto" w:fill="D9E2F3"/>
          </w:tcPr>
          <w:p>
            <w:pPr>
              <w:jc w:val="center"/>
            </w:pPr>
            <w:r>
              <w:rPr>
                <w:b/>
              </w:rPr>
              <w:t>Derived From</w:t>
            </w:r>
          </w:p>
        </w:tc>
        <w:tc>
          <w:tcPr>
            <w:tcW w:type="dxa" w:w="4032"/>
            <w:shd w:val="clear" w:color="auto" w:fill="D9E2F3"/>
          </w:tcPr>
          <w:p>
            <w:pPr>
              <w:jc w:val="center"/>
            </w:pPr>
            <w:r>
              <w:rPr>
                <w:b/>
              </w:rPr>
              <w:t>Effect on Agent Behaviour</w:t>
            </w:r>
          </w:p>
        </w:tc>
        <w:tc>
          <w:tcPr>
            <w:tcW w:type="dxa" w:w="1152"/>
            <w:shd w:val="clear" w:color="auto" w:fill="D9E2F3"/>
          </w:tcPr>
          <w:p>
            <w:pPr>
              <w:jc w:val="center"/>
            </w:pPr>
            <w:r>
              <w:rPr>
                <w:b/>
              </w:rPr>
              <w:t>Default</w:t>
            </w:r>
          </w:p>
        </w:tc>
      </w:tr>
      <w:tr>
        <w:tc>
          <w:tcPr>
            <w:tcW w:type="dxa" w:w="2304"/>
          </w:tcPr>
          <w:p>
            <w:pPr>
              <w:jc w:val="left"/>
            </w:pPr>
            <w:r>
              <w:t>recovery_multiplier</w:t>
            </w:r>
          </w:p>
        </w:tc>
        <w:tc>
          <w:tcPr>
            <w:tcW w:type="dxa" w:w="2592"/>
          </w:tcPr>
          <w:p>
            <w:pPr>
              <w:jc w:val="left"/>
            </w:pPr>
            <w:r>
              <w:t>Revenue volatility / CAGR</w:t>
            </w:r>
          </w:p>
        </w:tc>
        <w:tc>
          <w:tcPr>
            <w:tcW w:type="dxa" w:w="4032"/>
          </w:tcPr>
          <w:p>
            <w:pPr>
              <w:jc w:val="left"/>
            </w:pPr>
            <w:r>
              <w:t>Scales the weekly recovery rate after a shock; financially stronger firms recover faster</w:t>
            </w:r>
          </w:p>
        </w:tc>
        <w:tc>
          <w:tcPr>
            <w:tcW w:type="dxa" w:w="1152"/>
          </w:tcPr>
          <w:p>
            <w:pPr>
              <w:jc w:val="left"/>
            </w:pPr>
            <w:r>
              <w:t>1.0</w:t>
            </w:r>
          </w:p>
        </w:tc>
      </w:tr>
      <w:tr>
        <w:tc>
          <w:tcPr>
            <w:tcW w:type="dxa" w:w="2304"/>
          </w:tcPr>
          <w:p>
            <w:pPr>
              <w:jc w:val="left"/>
            </w:pPr>
            <w:r>
              <w:t>inventory_multiplier</w:t>
            </w:r>
          </w:p>
        </w:tc>
        <w:tc>
          <w:tcPr>
            <w:tcW w:type="dxa" w:w="2592"/>
          </w:tcPr>
          <w:p>
            <w:pPr>
              <w:jc w:val="left"/>
            </w:pPr>
            <w:r>
              <w:t>Days Inventory Outstanding (DIO)</w:t>
            </w:r>
          </w:p>
        </w:tc>
        <w:tc>
          <w:tcPr>
            <w:tcW w:type="dxa" w:w="4032"/>
          </w:tcPr>
          <w:p>
            <w:pPr>
              <w:jc w:val="left"/>
            </w:pPr>
            <w:r>
              <w:t>Scales safety-stock target; firms with longer cash cycles hold more inventory</w:t>
            </w:r>
          </w:p>
        </w:tc>
        <w:tc>
          <w:tcPr>
            <w:tcW w:type="dxa" w:w="1152"/>
          </w:tcPr>
          <w:p>
            <w:pPr>
              <w:jc w:val="left"/>
            </w:pPr>
            <w:r>
              <w:t>1.0</w:t>
            </w:r>
          </w:p>
        </w:tc>
      </w:tr>
      <w:tr>
        <w:tc>
          <w:tcPr>
            <w:tcW w:type="dxa" w:w="2304"/>
          </w:tcPr>
          <w:p>
            <w:pPr>
              <w:jc w:val="left"/>
            </w:pPr>
            <w:r>
              <w:t>growth_multiplier</w:t>
            </w:r>
          </w:p>
        </w:tc>
        <w:tc>
          <w:tcPr>
            <w:tcW w:type="dxa" w:w="2592"/>
          </w:tcPr>
          <w:p>
            <w:pPr>
              <w:jc w:val="left"/>
            </w:pPr>
            <w:r>
              <w:t>Revenue 5-yr CAGR</w:t>
            </w:r>
          </w:p>
        </w:tc>
        <w:tc>
          <w:tcPr>
            <w:tcW w:type="dxa" w:w="4032"/>
          </w:tcPr>
          <w:p>
            <w:pPr>
              <w:jc w:val="left"/>
            </w:pPr>
            <w:r>
              <w:t>Scales capacity growth rate; high-growth firms expand capacity faster</w:t>
            </w:r>
          </w:p>
        </w:tc>
        <w:tc>
          <w:tcPr>
            <w:tcW w:type="dxa" w:w="1152"/>
          </w:tcPr>
          <w:p>
            <w:pPr>
              <w:jc w:val="left"/>
            </w:pPr>
            <w:r>
              <w:t>1.0</w:t>
            </w:r>
          </w:p>
        </w:tc>
      </w:tr>
      <w:tr>
        <w:tc>
          <w:tcPr>
            <w:tcW w:type="dxa" w:w="2304"/>
          </w:tcPr>
          <w:p>
            <w:pPr>
              <w:jc w:val="left"/>
            </w:pPr>
            <w:r>
              <w:t>shock_absorption</w:t>
            </w:r>
          </w:p>
        </w:tc>
        <w:tc>
          <w:tcPr>
            <w:tcW w:type="dxa" w:w="2592"/>
          </w:tcPr>
          <w:p>
            <w:pPr>
              <w:jc w:val="left"/>
            </w:pPr>
            <w:r>
              <w:t>Net margin / balance-sheet strength proxy</w:t>
            </w:r>
          </w:p>
        </w:tc>
        <w:tc>
          <w:tcPr>
            <w:tcW w:type="dxa" w:w="4032"/>
          </w:tcPr>
          <w:p>
            <w:pPr>
              <w:jc w:val="left"/>
            </w:pPr>
            <w:r>
              <w:t>Reduces effective shock severity; firms with stronger finances absorb disruptions better</w:t>
            </w:r>
          </w:p>
        </w:tc>
        <w:tc>
          <w:tcPr>
            <w:tcW w:type="dxa" w:w="1152"/>
          </w:tcPr>
          <w:p>
            <w:pPr>
              <w:jc w:val="left"/>
            </w:pPr>
            <w:r>
              <w:t>0.0</w:t>
            </w:r>
          </w:p>
        </w:tc>
      </w:tr>
    </w:tbl>
    <w:p>
      <w:pPr>
        <w:pStyle w:val="Heading2"/>
        <w:jc w:val="left"/>
      </w:pPr>
      <w:r>
        <w:t>6.2  Peer Company Groups by Tier</w:t>
      </w:r>
    </w:p>
    <w:tbl>
      <w:tblPr>
        <w:tblStyle w:val="TableGrid"/>
        <w:tblW w:type="auto" w:w="0"/>
        <w:jc w:val="center"/>
        <w:tblLook w:firstColumn="1" w:firstRow="1" w:lastColumn="0" w:lastRow="0" w:noHBand="0" w:noVBand="1" w:val="04A0"/>
      </w:tblPr>
      <w:tblGrid>
        <w:gridCol w:w="2880"/>
        <w:gridCol w:w="2880"/>
        <w:gridCol w:w="2880"/>
      </w:tblGrid>
      <w:tr>
        <w:tc>
          <w:tcPr>
            <w:tcW w:type="dxa" w:w="1872"/>
            <w:shd w:val="clear" w:color="auto" w:fill="D9E2F3"/>
          </w:tcPr>
          <w:p>
            <w:pPr>
              <w:jc w:val="center"/>
            </w:pPr>
            <w:r>
              <w:rPr>
                <w:b/>
              </w:rPr>
              <w:t>Tier</w:t>
            </w:r>
          </w:p>
        </w:tc>
        <w:tc>
          <w:tcPr>
            <w:tcW w:type="dxa" w:w="2592"/>
            <w:shd w:val="clear" w:color="auto" w:fill="D9E2F3"/>
          </w:tcPr>
          <w:p>
            <w:pPr>
              <w:jc w:val="center"/>
            </w:pPr>
            <w:r>
              <w:rPr>
                <w:b/>
              </w:rPr>
              <w:t>Agent Group</w:t>
            </w:r>
          </w:p>
        </w:tc>
        <w:tc>
          <w:tcPr>
            <w:tcW w:type="dxa" w:w="5616"/>
            <w:shd w:val="clear" w:color="auto" w:fill="D9E2F3"/>
          </w:tcPr>
          <w:p>
            <w:pPr>
              <w:jc w:val="center"/>
            </w:pPr>
            <w:r>
              <w:rPr>
                <w:b/>
              </w:rPr>
              <w:t>Example Listed Peers</w:t>
            </w:r>
          </w:p>
        </w:tc>
      </w:tr>
      <w:tr>
        <w:tc>
          <w:tcPr>
            <w:tcW w:type="dxa" w:w="1872"/>
          </w:tcPr>
          <w:p>
            <w:pPr>
              <w:jc w:val="left"/>
            </w:pPr>
            <w:r>
              <w:t>Tier 1 — Minerals</w:t>
            </w:r>
          </w:p>
        </w:tc>
        <w:tc>
          <w:tcPr>
            <w:tcW w:type="dxa" w:w="2592"/>
          </w:tcPr>
          <w:p>
            <w:pPr>
              <w:jc w:val="left"/>
            </w:pPr>
            <w:r>
              <w:t>Lithium miners, cobalt producers, graphite producers, REE, SiC</w:t>
            </w:r>
          </w:p>
        </w:tc>
        <w:tc>
          <w:tcPr>
            <w:tcW w:type="dxa" w:w="5616"/>
          </w:tcPr>
          <w:p>
            <w:pPr>
              <w:jc w:val="left"/>
            </w:pPr>
            <w:r>
              <w:t>Albemarle (ALB), SQM, Ganfeng Lithium, Glencore (GLEN.L), CMOC (3993.HK), MP Materials (MP), Lynas Rare Earths (LYC.AX), Wolfspeed (WOLF), Coherent (COHR)</w:t>
            </w:r>
          </w:p>
        </w:tc>
      </w:tr>
      <w:tr>
        <w:tc>
          <w:tcPr>
            <w:tcW w:type="dxa" w:w="1872"/>
          </w:tcPr>
          <w:p>
            <w:pPr>
              <w:jc w:val="left"/>
            </w:pPr>
            <w:r>
              <w:t>Tier 2 — Cells</w:t>
            </w:r>
          </w:p>
        </w:tc>
        <w:tc>
          <w:tcPr>
            <w:tcW w:type="dxa" w:w="2592"/>
          </w:tcPr>
          <w:p>
            <w:pPr>
              <w:jc w:val="left"/>
            </w:pPr>
            <w:r>
              <w:t>Battery cell manufacturers</w:t>
            </w:r>
          </w:p>
        </w:tc>
        <w:tc>
          <w:tcPr>
            <w:tcW w:type="dxa" w:w="5616"/>
          </w:tcPr>
          <w:p>
            <w:pPr>
              <w:jc w:val="left"/>
            </w:pPr>
            <w:r>
              <w:t>CATL (300750.SZ), BYD (002594.SZ), LG Energy Solution (373220.KS), Panasonic (6752.T), Samsung SDI (006400.KS), SK On (096770.KS), CALB (3931.HK)</w:t>
            </w:r>
          </w:p>
        </w:tc>
      </w:tr>
      <w:tr>
        <w:tc>
          <w:tcPr>
            <w:tcW w:type="dxa" w:w="1872"/>
          </w:tcPr>
          <w:p>
            <w:pPr>
              <w:jc w:val="left"/>
            </w:pPr>
            <w:r>
              <w:t>Tier 3 — Subsystems</w:t>
            </w:r>
          </w:p>
        </w:tc>
        <w:tc>
          <w:tcPr>
            <w:tcW w:type="dxa" w:w="2592"/>
          </w:tcPr>
          <w:p>
            <w:pPr>
              <w:jc w:val="left"/>
            </w:pPr>
            <w:r>
              <w:t>Pack, inverter, motor, harness suppliers</w:t>
            </w:r>
          </w:p>
        </w:tc>
        <w:tc>
          <w:tcPr>
            <w:tcW w:type="dxa" w:w="5616"/>
          </w:tcPr>
          <w:p>
            <w:pPr>
              <w:jc w:val="left"/>
            </w:pPr>
            <w:r>
              <w:t>BorgWarner (BWA), Infineon (IFX.DE), ON Semiconductor (ON), STMicro (STM), Nidec (6594.T), Denso (6902.T), Aptiv (APTV), TE Connectivity (TEL)</w:t>
            </w:r>
          </w:p>
        </w:tc>
      </w:tr>
      <w:tr>
        <w:tc>
          <w:tcPr>
            <w:tcW w:type="dxa" w:w="1872"/>
          </w:tcPr>
          <w:p>
            <w:pPr>
              <w:jc w:val="left"/>
            </w:pPr>
            <w:r>
              <w:t>Tier 4 — OEM</w:t>
            </w:r>
          </w:p>
        </w:tc>
        <w:tc>
          <w:tcPr>
            <w:tcW w:type="dxa" w:w="2592"/>
          </w:tcPr>
          <w:p>
            <w:pPr>
              <w:jc w:val="left"/>
            </w:pPr>
            <w:r>
              <w:t>Vehicle manufacturers by region</w:t>
            </w:r>
          </w:p>
        </w:tc>
        <w:tc>
          <w:tcPr>
            <w:tcW w:type="dxa" w:w="5616"/>
          </w:tcPr>
          <w:p>
            <w:pPr>
              <w:jc w:val="left"/>
            </w:pPr>
            <w:r>
              <w:t>Tesla (TSLA), GM (GM), Ford (F), Volkswagen (VOW3.DE), BMW (BMW.DE), Hyundai (005380.KS), Toyota (7203.T), BYD (002594.SZ), NIO (NIO), Li Auto (LI)</w:t>
            </w:r>
          </w:p>
        </w:tc>
      </w:tr>
    </w:tbl>
    <w:p>
      <w:r>
        <w:rPr>
          <w:b w:val="0"/>
          <w:i w:val="0"/>
        </w:rPr>
      </w:r>
    </w:p>
    <w:p>
      <w:r>
        <w:rPr>
          <w:b w:val="0"/>
          <w:i w:val="0"/>
        </w:rPr>
        <w:t>In total, 61 peer companies with valid tickers were identified across 34 agent groups. Financial data was successfully retrieved for 60 of these companies (Wolfspeed returned no records due to Chapter 11 bankruptcy filing in 2025; Coherent acts as fallback). Coverage is 100% for 33 of 34 agent groups.</w:t>
      </w:r>
    </w:p>
    <w:p>
      <w:r>
        <w:br w:type="page"/>
      </w:r>
    </w:p>
    <w:p>
      <w:pPr>
        <w:pStyle w:val="Heading1"/>
        <w:jc w:val="left"/>
      </w:pPr>
      <w:r>
        <w:t>7.  Scenario Shocks</w:t>
      </w:r>
    </w:p>
    <w:p>
      <w:r>
        <w:rPr>
          <w:b w:val="0"/>
          <w:i w:val="0"/>
        </w:rPr>
        <w:t>The model supports structured scenario shocks applied to any agent. Shocks are defined as a list of shock dictionaries in the scenario configuration, specifying the target agent, start week, end week, and severity [0, 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160"/>
            <w:shd w:val="clear" w:color="auto" w:fill="D9E2F3"/>
          </w:tcPr>
          <w:p>
            <w:pPr>
              <w:jc w:val="center"/>
            </w:pPr>
            <w:r>
              <w:rPr>
                <w:b/>
              </w:rPr>
              <w:t>Scenario</w:t>
            </w:r>
          </w:p>
        </w:tc>
        <w:tc>
          <w:tcPr>
            <w:tcW w:type="dxa" w:w="1872"/>
            <w:shd w:val="clear" w:color="auto" w:fill="D9E2F3"/>
          </w:tcPr>
          <w:p>
            <w:pPr>
              <w:jc w:val="center"/>
            </w:pPr>
            <w:r>
              <w:rPr>
                <w:b/>
              </w:rPr>
              <w:t>Target Agent</w:t>
            </w:r>
          </w:p>
        </w:tc>
        <w:tc>
          <w:tcPr>
            <w:tcW w:type="dxa" w:w="1440"/>
            <w:shd w:val="clear" w:color="auto" w:fill="D9E2F3"/>
          </w:tcPr>
          <w:p>
            <w:pPr>
              <w:jc w:val="center"/>
            </w:pPr>
            <w:r>
              <w:rPr>
                <w:b/>
              </w:rPr>
              <w:t>Severity</w:t>
            </w:r>
          </w:p>
        </w:tc>
        <w:tc>
          <w:tcPr>
            <w:tcW w:type="dxa" w:w="1728"/>
            <w:shd w:val="clear" w:color="auto" w:fill="D9E2F3"/>
          </w:tcPr>
          <w:p>
            <w:pPr>
              <w:jc w:val="center"/>
            </w:pPr>
            <w:r>
              <w:rPr>
                <w:b/>
              </w:rPr>
              <w:t>Duration</w:t>
            </w:r>
          </w:p>
        </w:tc>
        <w:tc>
          <w:tcPr>
            <w:tcW w:type="dxa" w:w="4320"/>
            <w:shd w:val="clear" w:color="auto" w:fill="D9E2F3"/>
          </w:tcPr>
          <w:p>
            <w:pPr>
              <w:jc w:val="center"/>
            </w:pPr>
            <w:r>
              <w:rPr>
                <w:b/>
              </w:rPr>
              <w:t>Mechanism</w:t>
            </w:r>
          </w:p>
        </w:tc>
      </w:tr>
      <w:tr>
        <w:tc>
          <w:tcPr>
            <w:tcW w:type="dxa" w:w="2160"/>
          </w:tcPr>
          <w:p>
            <w:pPr>
              <w:jc w:val="left"/>
            </w:pPr>
            <w:r>
              <w:t>DRC Cobalt Disruption</w:t>
            </w:r>
          </w:p>
        </w:tc>
        <w:tc>
          <w:tcPr>
            <w:tcW w:type="dxa" w:w="1872"/>
          </w:tcPr>
          <w:p>
            <w:pPr>
              <w:jc w:val="left"/>
            </w:pPr>
            <w:r>
              <w:t>cobalt_drc</w:t>
            </w:r>
          </w:p>
        </w:tc>
        <w:tc>
          <w:tcPr>
            <w:tcW w:type="dxa" w:w="1440"/>
          </w:tcPr>
          <w:p>
            <w:pPr>
              <w:jc w:val="left"/>
            </w:pPr>
            <w:r>
              <w:t>0.70 (70% output loss)</w:t>
            </w:r>
          </w:p>
        </w:tc>
        <w:tc>
          <w:tcPr>
            <w:tcW w:type="dxa" w:w="1728"/>
          </w:tcPr>
          <w:p>
            <w:pPr>
              <w:jc w:val="left"/>
            </w:pPr>
            <w:r>
              <w:t>Weeks 26–78 (12 months)</w:t>
            </w:r>
          </w:p>
        </w:tc>
        <w:tc>
          <w:tcPr>
            <w:tcW w:type="dxa" w:w="4320"/>
          </w:tcPr>
          <w:p>
            <w:pPr>
              <w:jc w:val="left"/>
            </w:pPr>
            <w:r>
              <w:t>Political instability / export ban. Cobalt stock depletes → price rises → LFP substitution accelerates. Modelled qualitative result: cobalt price +86%, LFP share rises from 40% to 45%.</w:t>
            </w:r>
          </w:p>
        </w:tc>
      </w:tr>
      <w:tr>
        <w:tc>
          <w:tcPr>
            <w:tcW w:type="dxa" w:w="2160"/>
          </w:tcPr>
          <w:p>
            <w:pPr>
              <w:jc w:val="left"/>
            </w:pPr>
            <w:r>
              <w:t>China REE Export Restriction</w:t>
            </w:r>
          </w:p>
        </w:tc>
        <w:tc>
          <w:tcPr>
            <w:tcW w:type="dxa" w:w="1872"/>
          </w:tcPr>
          <w:p>
            <w:pPr>
              <w:jc w:val="left"/>
            </w:pPr>
            <w:r>
              <w:t>ree_chn</w:t>
            </w:r>
          </w:p>
        </w:tc>
        <w:tc>
          <w:tcPr>
            <w:tcW w:type="dxa" w:w="1440"/>
          </w:tcPr>
          <w:p>
            <w:pPr>
              <w:jc w:val="left"/>
            </w:pPr>
            <w:r>
              <w:t>0.80 (80% output loss)</w:t>
            </w:r>
          </w:p>
        </w:tc>
        <w:tc>
          <w:tcPr>
            <w:tcW w:type="dxa" w:w="1728"/>
          </w:tcPr>
          <w:p>
            <w:pPr>
              <w:jc w:val="left"/>
            </w:pPr>
            <w:r>
              <w:t>Weeks 26–52 (6 months)</w:t>
            </w:r>
          </w:p>
        </w:tc>
        <w:tc>
          <w:tcPr>
            <w:tcW w:type="dxa" w:w="4320"/>
          </w:tcPr>
          <w:p>
            <w:pPr>
              <w:jc w:val="left"/>
            </w:pPr>
            <w:r>
              <w:t>Export quota reduction. REE price rises 2.5–4.2×. Motor production constrained by REE shortage. OEM production reduced.</w:t>
            </w:r>
          </w:p>
        </w:tc>
      </w:tr>
      <w:tr>
        <w:tc>
          <w:tcPr>
            <w:tcW w:type="dxa" w:w="2160"/>
          </w:tcPr>
          <w:p>
            <w:pPr>
              <w:jc w:val="left"/>
            </w:pPr>
            <w:r>
              <w:t>China Graphite Disruption</w:t>
            </w:r>
          </w:p>
        </w:tc>
        <w:tc>
          <w:tcPr>
            <w:tcW w:type="dxa" w:w="1872"/>
          </w:tcPr>
          <w:p>
            <w:pPr>
              <w:jc w:val="left"/>
            </w:pPr>
            <w:r>
              <w:t>graphite_chn</w:t>
            </w:r>
          </w:p>
        </w:tc>
        <w:tc>
          <w:tcPr>
            <w:tcW w:type="dxa" w:w="1440"/>
          </w:tcPr>
          <w:p>
            <w:pPr>
              <w:jc w:val="left"/>
            </w:pPr>
            <w:r>
              <w:t>0.60 (60% output loss)</w:t>
            </w:r>
          </w:p>
        </w:tc>
        <w:tc>
          <w:tcPr>
            <w:tcW w:type="dxa" w:w="1728"/>
          </w:tcPr>
          <w:p>
            <w:pPr>
              <w:jc w:val="left"/>
            </w:pPr>
            <w:r>
              <w:t>Weeks 26–60</w:t>
            </w:r>
          </w:p>
        </w:tc>
        <w:tc>
          <w:tcPr>
            <w:tcW w:type="dxa" w:w="4320"/>
          </w:tcPr>
          <w:p>
            <w:pPr>
              <w:jc w:val="left"/>
            </w:pPr>
            <w:r>
              <w:t>China controls 79% of global graphite supply. Cell production constrained as graphite anode shortage develops.</w:t>
            </w:r>
          </w:p>
        </w:tc>
      </w:tr>
      <w:tr>
        <w:tc>
          <w:tcPr>
            <w:tcW w:type="dxa" w:w="2160"/>
          </w:tcPr>
          <w:p>
            <w:pPr>
              <w:jc w:val="left"/>
            </w:pPr>
            <w:r>
              <w:t>UK Supply Chain Friction</w:t>
            </w:r>
          </w:p>
        </w:tc>
        <w:tc>
          <w:tcPr>
            <w:tcW w:type="dxa" w:w="1872"/>
          </w:tcPr>
          <w:p>
            <w:pPr>
              <w:jc w:val="left"/>
            </w:pPr>
            <w:r>
              <w:t>uk_oem</w:t>
            </w:r>
          </w:p>
        </w:tc>
        <w:tc>
          <w:tcPr>
            <w:tcW w:type="dxa" w:w="1440"/>
          </w:tcPr>
          <w:p>
            <w:pPr>
              <w:jc w:val="left"/>
            </w:pPr>
            <w:r>
              <w:t>0.15 (15% throughput loss)</w:t>
            </w:r>
          </w:p>
        </w:tc>
        <w:tc>
          <w:tcPr>
            <w:tcW w:type="dxa" w:w="1728"/>
          </w:tcPr>
          <w:p>
            <w:pPr>
              <w:jc w:val="left"/>
            </w:pPr>
            <w:r>
              <w:t>Weeks 1–260 (persistent)</w:t>
            </w:r>
          </w:p>
        </w:tc>
        <w:tc>
          <w:tcPr>
            <w:tcW w:type="dxa" w:w="4320"/>
          </w:tcPr>
          <w:p>
            <w:pPr>
              <w:jc w:val="left"/>
            </w:pPr>
            <w:r>
              <w:t>Post-Brexit rules-of-origin compliance costs and border friction. UK OEM operates at 85% of baseline capacity throughout.</w:t>
            </w:r>
          </w:p>
        </w:tc>
      </w:tr>
      <w:tr>
        <w:tc>
          <w:tcPr>
            <w:tcW w:type="dxa" w:w="2160"/>
          </w:tcPr>
          <w:p>
            <w:pPr>
              <w:jc w:val="left"/>
            </w:pPr>
            <w:r>
              <w:t>SiC Wafer Shortage</w:t>
            </w:r>
          </w:p>
        </w:tc>
        <w:tc>
          <w:tcPr>
            <w:tcW w:type="dxa" w:w="1872"/>
          </w:tcPr>
          <w:p>
            <w:pPr>
              <w:jc w:val="left"/>
            </w:pPr>
            <w:r>
              <w:t>sic_wolfspeed</w:t>
            </w:r>
          </w:p>
        </w:tc>
        <w:tc>
          <w:tcPr>
            <w:tcW w:type="dxa" w:w="1440"/>
          </w:tcPr>
          <w:p>
            <w:pPr>
              <w:jc w:val="left"/>
            </w:pPr>
            <w:r>
              <w:t>0.50 (50% output loss)</w:t>
            </w:r>
          </w:p>
        </w:tc>
        <w:tc>
          <w:tcPr>
            <w:tcW w:type="dxa" w:w="1728"/>
          </w:tcPr>
          <w:p>
            <w:pPr>
              <w:jc w:val="left"/>
            </w:pPr>
            <w:r>
              <w:t>Weeks 26–52</w:t>
            </w:r>
          </w:p>
        </w:tc>
        <w:tc>
          <w:tcPr>
            <w:tcW w:type="dxa" w:w="4320"/>
          </w:tcPr>
          <w:p>
            <w:pPr>
              <w:jc w:val="left"/>
            </w:pPr>
            <w:r>
              <w:t>Wolfspeed capacity constraints. Inverter production partially constrained (45% SiC dependency); Si-IGBT inverters continue unaffected.</w:t>
            </w:r>
          </w:p>
        </w:tc>
      </w:tr>
    </w:tbl>
    <w:p/>
    <w:p>
      <w:r>
        <w:rPr>
          <w:b/>
          <w:i w:val="0"/>
        </w:rPr>
        <w:t>Shock application mechanism:</w:t>
      </w:r>
    </w:p>
    <w:p>
      <w:pPr>
        <w:ind w:left="720" w:right="720"/>
        <w:shd w:val="clear" w:color="auto" w:fill="F2F2F2"/>
      </w:pPr>
      <w:r>
        <w:rPr>
          <w:rFonts w:ascii="Courier New" w:hAnsi="Courier New"/>
          <w:sz w:val="20"/>
        </w:rPr>
        <w:t>effective_severity = shock_severity × (1 − agent.financial_profile.shock_absorption)</w:t>
        <w:br/>
        <w:br/>
        <w:t>agent.shock_multiplier = max(0,  1 − effective_severity)</w:t>
        <w:br/>
        <w:br/>
        <w:t>Recovery (once end_week is reached):</w:t>
        <w:br/>
        <w:t xml:space="preserve">  each week: shock_multiplier += recovery_rate_wk × recovery_multiplier</w:t>
        <w:br/>
        <w:t xml:space="preserve">  until shock_multiplier = 1.0</w:t>
        <w:br/>
        <w:br/>
        <w:t>Example: DRC cobalt (severity=0.70, absorption=0.05)</w:t>
        <w:br/>
        <w:t xml:space="preserve">  effective_severity = 0.70 × 0.95 = 0.665</w:t>
        <w:br/>
        <w:t xml:space="preserve">  shock_multiplier = 0.335  (cobalt output drops to 33.5% of normal)</w:t>
      </w:r>
    </w:p>
    <w:p>
      <w:r>
        <w:br w:type="page"/>
      </w:r>
    </w:p>
    <w:p>
      <w:pPr>
        <w:pStyle w:val="Heading1"/>
        <w:jc w:val="left"/>
      </w:pPr>
      <w:r>
        <w:t>8.  Complete Parameter Summary</w:t>
      </w:r>
    </w:p>
    <w:p>
      <w:pPr>
        <w:pStyle w:val="Heading2"/>
        <w:jc w:val="left"/>
      </w:pPr>
      <w:r>
        <w:t>8.1  Simulation Control</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color="auto" w:fill="D9E2F3"/>
          </w:tcPr>
          <w:p>
            <w:pPr>
              <w:jc w:val="center"/>
            </w:pPr>
            <w:r>
              <w:rPr>
                <w:b/>
              </w:rPr>
              <w:t>Parameter</w:t>
            </w:r>
          </w:p>
        </w:tc>
        <w:tc>
          <w:tcPr>
            <w:tcW w:type="dxa" w:w="1440"/>
            <w:shd w:val="clear" w:color="auto" w:fill="D9E2F3"/>
          </w:tcPr>
          <w:p>
            <w:pPr>
              <w:jc w:val="center"/>
            </w:pPr>
            <w:r>
              <w:rPr>
                <w:b/>
              </w:rPr>
              <w:t>Value</w:t>
            </w:r>
          </w:p>
        </w:tc>
        <w:tc>
          <w:tcPr>
            <w:tcW w:type="dxa" w:w="6480"/>
            <w:shd w:val="clear" w:color="auto" w:fill="D9E2F3"/>
          </w:tcPr>
          <w:p>
            <w:pPr>
              <w:jc w:val="center"/>
            </w:pPr>
            <w:r>
              <w:rPr>
                <w:b/>
              </w:rPr>
              <w:t>Description</w:t>
            </w:r>
          </w:p>
        </w:tc>
      </w:tr>
      <w:tr>
        <w:tc>
          <w:tcPr>
            <w:tcW w:type="dxa" w:w="2160"/>
          </w:tcPr>
          <w:p>
            <w:pPr>
              <w:jc w:val="left"/>
            </w:pPr>
            <w:r>
              <w:t>dt</w:t>
            </w:r>
          </w:p>
        </w:tc>
        <w:tc>
          <w:tcPr>
            <w:tcW w:type="dxa" w:w="1440"/>
          </w:tcPr>
          <w:p>
            <w:pPr>
              <w:jc w:val="left"/>
            </w:pPr>
            <w:r>
              <w:t>1 week</w:t>
            </w:r>
          </w:p>
        </w:tc>
        <w:tc>
          <w:tcPr>
            <w:tcW w:type="dxa" w:w="6480"/>
          </w:tcPr>
          <w:p>
            <w:pPr>
              <w:jc w:val="left"/>
            </w:pPr>
            <w:r>
              <w:t>Time step</w:t>
            </w:r>
          </w:p>
        </w:tc>
      </w:tr>
      <w:tr>
        <w:tc>
          <w:tcPr>
            <w:tcW w:type="dxa" w:w="2160"/>
          </w:tcPr>
          <w:p>
            <w:pPr>
              <w:jc w:val="left"/>
            </w:pPr>
            <w:r>
              <w:t>n_weeks</w:t>
            </w:r>
          </w:p>
        </w:tc>
        <w:tc>
          <w:tcPr>
            <w:tcW w:type="dxa" w:w="1440"/>
          </w:tcPr>
          <w:p>
            <w:pPr>
              <w:jc w:val="left"/>
            </w:pPr>
            <w:r>
              <w:t>260</w:t>
            </w:r>
          </w:p>
        </w:tc>
        <w:tc>
          <w:tcPr>
            <w:tcW w:type="dxa" w:w="6480"/>
          </w:tcPr>
          <w:p>
            <w:pPr>
              <w:jc w:val="left"/>
            </w:pPr>
            <w:r>
              <w:t>Simulation horizon (5 years)</w:t>
            </w:r>
          </w:p>
        </w:tc>
      </w:tr>
      <w:tr>
        <w:tc>
          <w:tcPr>
            <w:tcW w:type="dxa" w:w="2160"/>
          </w:tcPr>
          <w:p>
            <w:pPr>
              <w:jc w:val="left"/>
            </w:pPr>
            <w:r>
              <w:t>seed</w:t>
            </w:r>
          </w:p>
        </w:tc>
        <w:tc>
          <w:tcPr>
            <w:tcW w:type="dxa" w:w="1440"/>
          </w:tcPr>
          <w:p>
            <w:pPr>
              <w:jc w:val="left"/>
            </w:pPr>
            <w:r>
              <w:t>42</w:t>
            </w:r>
          </w:p>
        </w:tc>
        <w:tc>
          <w:tcPr>
            <w:tcW w:type="dxa" w:w="6480"/>
          </w:tcPr>
          <w:p>
            <w:pPr>
              <w:jc w:val="left"/>
            </w:pPr>
            <w:r>
              <w:t>Random number seed for reproducibility</w:t>
            </w:r>
          </w:p>
        </w:tc>
      </w:tr>
      <w:tr>
        <w:tc>
          <w:tcPr>
            <w:tcW w:type="dxa" w:w="2160"/>
          </w:tcPr>
          <w:p>
            <w:pPr>
              <w:jc w:val="left"/>
            </w:pPr>
            <w:r>
              <w:t>warm_up</w:t>
            </w:r>
          </w:p>
        </w:tc>
        <w:tc>
          <w:tcPr>
            <w:tcW w:type="dxa" w:w="1440"/>
          </w:tcPr>
          <w:p>
            <w:pPr>
              <w:jc w:val="left"/>
            </w:pPr>
            <w:r>
              <w:t>4 weeks</w:t>
            </w:r>
          </w:p>
        </w:tc>
        <w:tc>
          <w:tcPr>
            <w:tcW w:type="dxa" w:w="6480"/>
          </w:tcPr>
          <w:p>
            <w:pPr>
              <w:jc w:val="left"/>
            </w:pPr>
            <w:r>
              <w:t>Initial stabilisation period before metrics</w:t>
            </w:r>
          </w:p>
        </w:tc>
      </w:tr>
    </w:tbl>
    <w:p>
      <w:pPr>
        <w:pStyle w:val="Heading2"/>
        <w:jc w:val="left"/>
      </w:pPr>
      <w:r>
        <w:t>8.2  Mineral Safety-Stock Targets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28"/>
            <w:shd w:val="clear" w:color="auto" w:fill="D9E2F3"/>
          </w:tcPr>
          <w:p>
            <w:pPr>
              <w:jc w:val="center"/>
            </w:pPr>
            <w:r>
              <w:rPr>
                <w:b/>
              </w:rPr>
              <w:t>Mineral</w:t>
            </w:r>
          </w:p>
        </w:tc>
        <w:tc>
          <w:tcPr>
            <w:tcW w:type="dxa" w:w="1728"/>
            <w:shd w:val="clear" w:color="auto" w:fill="D9E2F3"/>
          </w:tcPr>
          <w:p>
            <w:pPr>
              <w:jc w:val="center"/>
            </w:pPr>
            <w:r>
              <w:rPr>
                <w:b/>
              </w:rPr>
              <w:t>Target (wks)</w:t>
            </w:r>
          </w:p>
        </w:tc>
        <w:tc>
          <w:tcPr>
            <w:tcW w:type="dxa" w:w="2592"/>
            <w:shd w:val="clear" w:color="auto" w:fill="D9E2F3"/>
          </w:tcPr>
          <w:p>
            <w:pPr>
              <w:jc w:val="center"/>
            </w:pPr>
            <w:r>
              <w:rPr>
                <w:b/>
              </w:rPr>
              <w:t>Baseline (wks/unit)</w:t>
            </w:r>
          </w:p>
        </w:tc>
        <w:tc>
          <w:tcPr>
            <w:tcW w:type="dxa" w:w="4032"/>
            <w:shd w:val="clear" w:color="auto" w:fill="D9E2F3"/>
          </w:tcPr>
          <w:p>
            <w:pPr>
              <w:jc w:val="center"/>
            </w:pPr>
            <w:r>
              <w:rPr>
                <w:b/>
              </w:rPr>
              <w:t>Rationale</w:t>
            </w:r>
          </w:p>
        </w:tc>
      </w:tr>
      <w:tr>
        <w:tc>
          <w:tcPr>
            <w:tcW w:type="dxa" w:w="1728"/>
          </w:tcPr>
          <w:p>
            <w:pPr>
              <w:jc w:val="left"/>
            </w:pPr>
            <w:r>
              <w:t>Lithium</w:t>
            </w:r>
          </w:p>
        </w:tc>
        <w:tc>
          <w:tcPr>
            <w:tcW w:type="dxa" w:w="1728"/>
          </w:tcPr>
          <w:p>
            <w:pPr>
              <w:jc w:val="left"/>
            </w:pPr>
            <w:r>
              <w:t>4</w:t>
            </w:r>
          </w:p>
        </w:tc>
        <w:tc>
          <w:tcPr>
            <w:tcW w:type="dxa" w:w="2592"/>
          </w:tcPr>
          <w:p>
            <w:pPr>
              <w:jc w:val="left"/>
            </w:pPr>
            <w:r>
              <w:t>1.0 normalised</w:t>
            </w:r>
          </w:p>
        </w:tc>
        <w:tc>
          <w:tcPr>
            <w:tcW w:type="dxa" w:w="4032"/>
          </w:tcPr>
          <w:p>
            <w:pPr>
              <w:jc w:val="left"/>
            </w:pPr>
            <w:r>
              <w:t>IEA CMMR 2023 typical buffer</w:t>
            </w:r>
          </w:p>
        </w:tc>
      </w:tr>
      <w:tr>
        <w:tc>
          <w:tcPr>
            <w:tcW w:type="dxa" w:w="1728"/>
          </w:tcPr>
          <w:p>
            <w:pPr>
              <w:jc w:val="left"/>
            </w:pPr>
            <w:r>
              <w:t>Cobalt</w:t>
            </w:r>
          </w:p>
        </w:tc>
        <w:tc>
          <w:tcPr>
            <w:tcW w:type="dxa" w:w="1728"/>
          </w:tcPr>
          <w:p>
            <w:pPr>
              <w:jc w:val="left"/>
            </w:pPr>
            <w:r>
              <w:t>6</w:t>
            </w:r>
          </w:p>
        </w:tc>
        <w:tc>
          <w:tcPr>
            <w:tcW w:type="dxa" w:w="2592"/>
          </w:tcPr>
          <w:p>
            <w:pPr>
              <w:jc w:val="left"/>
            </w:pPr>
            <w:r>
              <w:t>1.0 normalised</w:t>
            </w:r>
          </w:p>
        </w:tc>
        <w:tc>
          <w:tcPr>
            <w:tcW w:type="dxa" w:w="4032"/>
          </w:tcPr>
          <w:p>
            <w:pPr>
              <w:jc w:val="left"/>
            </w:pPr>
            <w:r>
              <w:t>DRC political risk</w:t>
            </w:r>
          </w:p>
        </w:tc>
      </w:tr>
      <w:tr>
        <w:tc>
          <w:tcPr>
            <w:tcW w:type="dxa" w:w="1728"/>
          </w:tcPr>
          <w:p>
            <w:pPr>
              <w:jc w:val="left"/>
            </w:pPr>
            <w:r>
              <w:t>Graphite</w:t>
            </w:r>
          </w:p>
        </w:tc>
        <w:tc>
          <w:tcPr>
            <w:tcW w:type="dxa" w:w="1728"/>
          </w:tcPr>
          <w:p>
            <w:pPr>
              <w:jc w:val="left"/>
            </w:pPr>
            <w:r>
              <w:t>4</w:t>
            </w:r>
          </w:p>
        </w:tc>
        <w:tc>
          <w:tcPr>
            <w:tcW w:type="dxa" w:w="2592"/>
          </w:tcPr>
          <w:p>
            <w:pPr>
              <w:jc w:val="left"/>
            </w:pPr>
            <w:r>
              <w:t>1.0 normalised</w:t>
            </w:r>
          </w:p>
        </w:tc>
        <w:tc>
          <w:tcPr>
            <w:tcW w:type="dxa" w:w="4032"/>
          </w:tcPr>
          <w:p>
            <w:pPr>
              <w:jc w:val="left"/>
            </w:pPr>
            <w:r>
              <w:t>Standard anode buffer</w:t>
            </w:r>
          </w:p>
        </w:tc>
      </w:tr>
      <w:tr>
        <w:tc>
          <w:tcPr>
            <w:tcW w:type="dxa" w:w="1728"/>
          </w:tcPr>
          <w:p>
            <w:pPr>
              <w:jc w:val="left"/>
            </w:pPr>
            <w:r>
              <w:t>REE</w:t>
            </w:r>
          </w:p>
        </w:tc>
        <w:tc>
          <w:tcPr>
            <w:tcW w:type="dxa" w:w="1728"/>
          </w:tcPr>
          <w:p>
            <w:pPr>
              <w:jc w:val="left"/>
            </w:pPr>
            <w:r>
              <w:t>8</w:t>
            </w:r>
          </w:p>
        </w:tc>
        <w:tc>
          <w:tcPr>
            <w:tcW w:type="dxa" w:w="2592"/>
          </w:tcPr>
          <w:p>
            <w:pPr>
              <w:jc w:val="left"/>
            </w:pPr>
            <w:r>
              <w:t>1.0 normalised</w:t>
            </w:r>
          </w:p>
        </w:tc>
        <w:tc>
          <w:tcPr>
            <w:tcW w:type="dxa" w:w="4032"/>
          </w:tcPr>
          <w:p>
            <w:pPr>
              <w:jc w:val="left"/>
            </w:pPr>
            <w:r>
              <w:t>Slow processing; China dominant</w:t>
            </w:r>
          </w:p>
        </w:tc>
      </w:tr>
      <w:tr>
        <w:tc>
          <w:tcPr>
            <w:tcW w:type="dxa" w:w="1728"/>
          </w:tcPr>
          <w:p>
            <w:pPr>
              <w:jc w:val="left"/>
            </w:pPr>
            <w:r>
              <w:t>SiC wafer</w:t>
            </w:r>
          </w:p>
        </w:tc>
        <w:tc>
          <w:tcPr>
            <w:tcW w:type="dxa" w:w="1728"/>
          </w:tcPr>
          <w:p>
            <w:pPr>
              <w:jc w:val="left"/>
            </w:pPr>
            <w:r>
              <w:t>12</w:t>
            </w:r>
          </w:p>
        </w:tc>
        <w:tc>
          <w:tcPr>
            <w:tcW w:type="dxa" w:w="2592"/>
          </w:tcPr>
          <w:p>
            <w:pPr>
              <w:jc w:val="left"/>
            </w:pPr>
            <w:r>
              <w:t>1.0 normalised</w:t>
            </w:r>
          </w:p>
        </w:tc>
        <w:tc>
          <w:tcPr>
            <w:tcW w:type="dxa" w:w="4032"/>
          </w:tcPr>
          <w:p>
            <w:pPr>
              <w:jc w:val="left"/>
            </w:pPr>
            <w:r>
              <w:t>26-week lead time; strategic buffer</w:t>
            </w:r>
          </w:p>
        </w:tc>
      </w:tr>
    </w:tbl>
    <w:p>
      <w:pPr>
        <w:pStyle w:val="Heading2"/>
        <w:jc w:val="left"/>
      </w:pPr>
      <w:r>
        <w:t>8.3  Mineral Supply Growth Rates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28"/>
            <w:shd w:val="clear" w:color="auto" w:fill="D9E2F3"/>
          </w:tcPr>
          <w:p>
            <w:pPr>
              <w:jc w:val="center"/>
            </w:pPr>
            <w:r>
              <w:rPr>
                <w:b/>
              </w:rPr>
              <w:t>Mineral</w:t>
            </w:r>
          </w:p>
        </w:tc>
        <w:tc>
          <w:tcPr>
            <w:tcW w:type="dxa" w:w="1728"/>
            <w:shd w:val="clear" w:color="auto" w:fill="D9E2F3"/>
          </w:tcPr>
          <w:p>
            <w:pPr>
              <w:jc w:val="center"/>
            </w:pPr>
            <w:r>
              <w:rPr>
                <w:b/>
              </w:rPr>
              <w:t>Annual Growth</w:t>
            </w:r>
          </w:p>
        </w:tc>
        <w:tc>
          <w:tcPr>
            <w:tcW w:type="dxa" w:w="1728"/>
            <w:shd w:val="clear" w:color="auto" w:fill="D9E2F3"/>
          </w:tcPr>
          <w:p>
            <w:pPr>
              <w:jc w:val="center"/>
            </w:pPr>
            <w:r>
              <w:rPr>
                <w:b/>
              </w:rPr>
              <w:t>Weekly Rate</w:t>
            </w:r>
          </w:p>
        </w:tc>
        <w:tc>
          <w:tcPr>
            <w:tcW w:type="dxa" w:w="4896"/>
            <w:shd w:val="clear" w:color="auto" w:fill="D9E2F3"/>
          </w:tcPr>
          <w:p>
            <w:pPr>
              <w:jc w:val="center"/>
            </w:pPr>
            <w:r>
              <w:rPr>
                <w:b/>
              </w:rPr>
              <w:t>Source</w:t>
            </w:r>
          </w:p>
        </w:tc>
      </w:tr>
      <w:tr>
        <w:tc>
          <w:tcPr>
            <w:tcW w:type="dxa" w:w="1728"/>
          </w:tcPr>
          <w:p>
            <w:pPr>
              <w:jc w:val="left"/>
            </w:pPr>
            <w:r>
              <w:t>Lithium</w:t>
            </w:r>
          </w:p>
        </w:tc>
        <w:tc>
          <w:tcPr>
            <w:tcW w:type="dxa" w:w="1728"/>
          </w:tcPr>
          <w:p>
            <w:pPr>
              <w:jc w:val="left"/>
            </w:pPr>
            <w:r>
              <w:t>20%/yr</w:t>
            </w:r>
          </w:p>
        </w:tc>
        <w:tc>
          <w:tcPr>
            <w:tcW w:type="dxa" w:w="1728"/>
          </w:tcPr>
          <w:p>
            <w:pPr>
              <w:jc w:val="left"/>
            </w:pPr>
            <w:r>
              <w:t>0.352%/wk</w:t>
            </w:r>
          </w:p>
        </w:tc>
        <w:tc>
          <w:tcPr>
            <w:tcW w:type="dxa" w:w="4896"/>
          </w:tcPr>
          <w:p>
            <w:pPr>
              <w:jc w:val="left"/>
            </w:pPr>
            <w:r>
              <w:t>IEA CMMR 2023 — new capacity underway</w:t>
            </w:r>
          </w:p>
        </w:tc>
      </w:tr>
      <w:tr>
        <w:tc>
          <w:tcPr>
            <w:tcW w:type="dxa" w:w="1728"/>
          </w:tcPr>
          <w:p>
            <w:pPr>
              <w:jc w:val="left"/>
            </w:pPr>
            <w:r>
              <w:t>Cobalt</w:t>
            </w:r>
          </w:p>
        </w:tc>
        <w:tc>
          <w:tcPr>
            <w:tcW w:type="dxa" w:w="1728"/>
          </w:tcPr>
          <w:p>
            <w:pPr>
              <w:jc w:val="left"/>
            </w:pPr>
            <w:r>
              <w:t xml:space="preserve"> 5%/yr</w:t>
            </w:r>
          </w:p>
        </w:tc>
        <w:tc>
          <w:tcPr>
            <w:tcW w:type="dxa" w:w="1728"/>
          </w:tcPr>
          <w:p>
            <w:pPr>
              <w:jc w:val="left"/>
            </w:pPr>
            <w:r>
              <w:t>0.094%/wk</w:t>
            </w:r>
          </w:p>
        </w:tc>
        <w:tc>
          <w:tcPr>
            <w:tcW w:type="dxa" w:w="4896"/>
          </w:tcPr>
          <w:p>
            <w:pPr>
              <w:jc w:val="left"/>
            </w:pPr>
            <w:r>
              <w:t>CMOC/Glencore DRC expansions limited</w:t>
            </w:r>
          </w:p>
        </w:tc>
      </w:tr>
      <w:tr>
        <w:tc>
          <w:tcPr>
            <w:tcW w:type="dxa" w:w="1728"/>
          </w:tcPr>
          <w:p>
            <w:pPr>
              <w:jc w:val="left"/>
            </w:pPr>
            <w:r>
              <w:t>Graphite</w:t>
            </w:r>
          </w:p>
        </w:tc>
        <w:tc>
          <w:tcPr>
            <w:tcW w:type="dxa" w:w="1728"/>
          </w:tcPr>
          <w:p>
            <w:pPr>
              <w:jc w:val="left"/>
            </w:pPr>
            <w:r>
              <w:t>15%/yr</w:t>
            </w:r>
          </w:p>
        </w:tc>
        <w:tc>
          <w:tcPr>
            <w:tcW w:type="dxa" w:w="1728"/>
          </w:tcPr>
          <w:p>
            <w:pPr>
              <w:jc w:val="left"/>
            </w:pPr>
            <w:r>
              <w:t>0.267%/wk</w:t>
            </w:r>
          </w:p>
        </w:tc>
        <w:tc>
          <w:tcPr>
            <w:tcW w:type="dxa" w:w="4896"/>
          </w:tcPr>
          <w:p>
            <w:pPr>
              <w:jc w:val="left"/>
            </w:pPr>
            <w:r>
              <w:t>Mozambique, Madagascar ramps</w:t>
            </w:r>
          </w:p>
        </w:tc>
      </w:tr>
      <w:tr>
        <w:tc>
          <w:tcPr>
            <w:tcW w:type="dxa" w:w="1728"/>
          </w:tcPr>
          <w:p>
            <w:pPr>
              <w:jc w:val="left"/>
            </w:pPr>
            <w:r>
              <w:t>REE</w:t>
            </w:r>
          </w:p>
        </w:tc>
        <w:tc>
          <w:tcPr>
            <w:tcW w:type="dxa" w:w="1728"/>
          </w:tcPr>
          <w:p>
            <w:pPr>
              <w:jc w:val="left"/>
            </w:pPr>
            <w:r>
              <w:t xml:space="preserve"> 8%/yr</w:t>
            </w:r>
          </w:p>
        </w:tc>
        <w:tc>
          <w:tcPr>
            <w:tcW w:type="dxa" w:w="1728"/>
          </w:tcPr>
          <w:p>
            <w:pPr>
              <w:jc w:val="left"/>
            </w:pPr>
            <w:r>
              <w:t>0.149%/wk</w:t>
            </w:r>
          </w:p>
        </w:tc>
        <w:tc>
          <w:tcPr>
            <w:tcW w:type="dxa" w:w="4896"/>
          </w:tcPr>
          <w:p>
            <w:pPr>
              <w:jc w:val="left"/>
            </w:pPr>
            <w:r>
              <w:t>MP Materials, Lynas; 3–5yr build times</w:t>
            </w:r>
          </w:p>
        </w:tc>
      </w:tr>
      <w:tr>
        <w:tc>
          <w:tcPr>
            <w:tcW w:type="dxa" w:w="1728"/>
          </w:tcPr>
          <w:p>
            <w:pPr>
              <w:jc w:val="left"/>
            </w:pPr>
            <w:r>
              <w:t>SiC wafer</w:t>
            </w:r>
          </w:p>
        </w:tc>
        <w:tc>
          <w:tcPr>
            <w:tcW w:type="dxa" w:w="1728"/>
          </w:tcPr>
          <w:p>
            <w:pPr>
              <w:jc w:val="left"/>
            </w:pPr>
            <w:r>
              <w:t>35%/yr</w:t>
            </w:r>
          </w:p>
        </w:tc>
        <w:tc>
          <w:tcPr>
            <w:tcW w:type="dxa" w:w="1728"/>
          </w:tcPr>
          <w:p>
            <w:pPr>
              <w:jc w:val="left"/>
            </w:pPr>
            <w:r>
              <w:t>0.586%/wk</w:t>
            </w:r>
          </w:p>
        </w:tc>
        <w:tc>
          <w:tcPr>
            <w:tcW w:type="dxa" w:w="4896"/>
          </w:tcPr>
          <w:p>
            <w:pPr>
              <w:jc w:val="left"/>
            </w:pPr>
            <w:r>
              <w:t>Wolfspeed, STM, Infineon fab ramps (BNEF 2023)</w:t>
            </w:r>
          </w:p>
        </w:tc>
      </w:tr>
    </w:tbl>
    <w:p>
      <w:r>
        <w:rPr>
          <w:b w:val="0"/>
          <w:i/>
        </w:rPr>
        <w:t>Note: all supply growth rates are below EV demand growth (29%/yr), consistent with IEA and BNEF structural tightening forecasts.</w:t>
      </w:r>
    </w:p>
    <w:p>
      <w:pPr>
        <w:pStyle w:val="Heading2"/>
        <w:jc w:val="left"/>
      </w:pPr>
      <w:r>
        <w:t>8.4  Key Structural Assumptions</w:t>
      </w:r>
    </w:p>
    <w:p>
      <w:pPr>
        <w:pStyle w:val="ListBullet"/>
        <w:ind w:left="360"/>
      </w:pPr>
      <w:r>
        <w:t>One-for-one component ratios: each vehicle requires exactly one battery pack, one inverter, one motor, and one wiring harness set.</w:t>
      </w:r>
    </w:p>
    <w:p>
      <w:pPr>
        <w:pStyle w:val="ListBullet"/>
        <w:ind w:left="360"/>
      </w:pPr>
      <w:r>
        <w:t>Linear market share routing: cell demand is routed to cell makers and component deliveries to OEMs in proportion to their respective market shares. No switching behaviour is modelled (routing is static).</w:t>
      </w:r>
    </w:p>
    <w:p>
      <w:pPr>
        <w:pStyle w:val="ListBullet"/>
        <w:ind w:left="360"/>
      </w:pPr>
      <w:r>
        <w:t>Global homogeneous supply: mineral stocks are global aggregates. Geographic routing of specific minerals to specific cell makers is not modelled.</w:t>
      </w:r>
    </w:p>
    <w:p>
      <w:pPr>
        <w:pStyle w:val="ListBullet"/>
        <w:ind w:left="360"/>
      </w:pPr>
      <w:r>
        <w:t>No financial stress dynamics: agent financial profiles are fixed at calibrated values and do not evolve endogenously (e.g., balance sheets do not deteriorate under prolonged shock).</w:t>
      </w:r>
    </w:p>
    <w:p>
      <w:pPr>
        <w:pStyle w:val="ListBullet"/>
        <w:ind w:left="360"/>
      </w:pPr>
      <w:r>
        <w:t>No inventory sharing: agents cannot borrow from or share inventory with other agents at the same tier.</w:t>
      </w:r>
    </w:p>
    <w:p>
      <w:r>
        <w:br w:type="page"/>
      </w:r>
    </w:p>
    <w:p>
      <w:pPr>
        <w:pStyle w:val="Heading1"/>
        <w:jc w:val="left"/>
      </w:pPr>
      <w:r>
        <w:t>9.  References</w:t>
      </w:r>
    </w:p>
    <w:p>
      <w:pPr>
        <w:spacing w:after="80"/>
        <w:ind w:left="504" w:hanging="504"/>
      </w:pPr>
      <w:r>
        <w:rPr>
          <w:b/>
          <w:sz w:val="20"/>
        </w:rPr>
        <w:t xml:space="preserve">Grimm, V., Berger, U., Bastiansen, F., et al. (2006). </w:t>
      </w:r>
      <w:r>
        <w:rPr>
          <w:sz w:val="20"/>
        </w:rPr>
        <w:t>A standard protocol for describing individual-based and agent-based models. Ecological Modelling, 198(1-2), 115–126.</w:t>
      </w:r>
    </w:p>
    <w:p>
      <w:pPr>
        <w:spacing w:after="80"/>
        <w:ind w:left="504" w:hanging="504"/>
      </w:pPr>
      <w:r>
        <w:rPr>
          <w:b/>
          <w:sz w:val="20"/>
        </w:rPr>
        <w:t xml:space="preserve">Grimm, V., Berger, U., DeAngelis, D.L., et al. (2010). </w:t>
      </w:r>
      <w:r>
        <w:rPr>
          <w:sz w:val="20"/>
        </w:rPr>
        <w:t>The ODD protocol: A review and first update. Ecological Modelling, 221(23), 2760–2768.</w:t>
      </w:r>
    </w:p>
    <w:p>
      <w:pPr>
        <w:spacing w:after="80"/>
        <w:ind w:left="504" w:hanging="504"/>
      </w:pPr>
      <w:r>
        <w:rPr>
          <w:b/>
          <w:sz w:val="20"/>
        </w:rPr>
        <w:t xml:space="preserve">Grimm, V., et al. (2020). </w:t>
      </w:r>
      <w:r>
        <w:rPr>
          <w:sz w:val="20"/>
        </w:rPr>
        <w:t>The ODD Protocol for describing agent-based and other simulation models: A second update to improve clarity, replication, and structural realism. Journal of Artificial Societies and Social Simulation, 23(2), 7.</w:t>
      </w:r>
    </w:p>
    <w:p>
      <w:pPr>
        <w:spacing w:after="80"/>
        <w:ind w:left="504" w:hanging="504"/>
      </w:pPr>
      <w:r>
        <w:rPr>
          <w:b/>
          <w:sz w:val="20"/>
        </w:rPr>
        <w:t xml:space="preserve">IEA (2024). </w:t>
      </w:r>
      <w:r>
        <w:rPr>
          <w:sz w:val="20"/>
        </w:rPr>
        <w:t>Global EV Outlook 2024. International Energy Agency, Paris.</w:t>
      </w:r>
    </w:p>
    <w:p>
      <w:pPr>
        <w:spacing w:after="80"/>
        <w:ind w:left="504" w:hanging="504"/>
      </w:pPr>
      <w:r>
        <w:rPr>
          <w:b/>
          <w:sz w:val="20"/>
        </w:rPr>
        <w:t xml:space="preserve">IEA (2023). </w:t>
      </w:r>
      <w:r>
        <w:rPr>
          <w:sz w:val="20"/>
        </w:rPr>
        <w:t>Critical Minerals Market Review 2023. International Energy Agency, Paris.</w:t>
      </w:r>
    </w:p>
    <w:p>
      <w:pPr>
        <w:spacing w:after="80"/>
        <w:ind w:left="504" w:hanging="504"/>
      </w:pPr>
      <w:r>
        <w:rPr>
          <w:b/>
          <w:sz w:val="20"/>
        </w:rPr>
        <w:t xml:space="preserve">USGS (2024). </w:t>
      </w:r>
      <w:r>
        <w:rPr>
          <w:sz w:val="20"/>
        </w:rPr>
        <w:t>Mineral Commodity Summaries 2024. U.S. Geological Survey.</w:t>
      </w:r>
    </w:p>
    <w:p>
      <w:pPr>
        <w:spacing w:after="80"/>
        <w:ind w:left="504" w:hanging="504"/>
      </w:pPr>
      <w:r>
        <w:rPr>
          <w:b/>
          <w:sz w:val="20"/>
        </w:rPr>
        <w:t xml:space="preserve">BNEF (2023). </w:t>
      </w:r>
      <w:r>
        <w:rPr>
          <w:sz w:val="20"/>
        </w:rPr>
        <w:t>BloombergNEF Battery Price Survey 2023. Bloomberg New Energy Finance.</w:t>
      </w:r>
    </w:p>
    <w:p>
      <w:pPr>
        <w:spacing w:after="80"/>
        <w:ind w:left="504" w:hanging="504"/>
      </w:pPr>
      <w:r>
        <w:rPr>
          <w:b/>
          <w:sz w:val="20"/>
        </w:rPr>
        <w:t xml:space="preserve">BNEF (2023). </w:t>
      </w:r>
      <w:r>
        <w:rPr>
          <w:sz w:val="20"/>
        </w:rPr>
        <w:t>Battery Market Outlook 2023. Bloomberg New Energy Finance.</w:t>
      </w:r>
    </w:p>
    <w:p>
      <w:pPr>
        <w:spacing w:after="80"/>
        <w:ind w:left="504" w:hanging="504"/>
      </w:pPr>
      <w:r>
        <w:rPr>
          <w:b/>
          <w:sz w:val="20"/>
        </w:rPr>
        <w:t xml:space="preserve">Yole Intelligence (2023). </w:t>
      </w:r>
      <w:r>
        <w:rPr>
          <w:sz w:val="20"/>
        </w:rPr>
        <w:t>Power Electronics for EV/HEV — Market Report 2023.</w:t>
      </w:r>
    </w:p>
    <w:p>
      <w:pPr>
        <w:spacing w:after="80"/>
        <w:ind w:left="504" w:hanging="504"/>
      </w:pPr>
      <w:r>
        <w:rPr>
          <w:b/>
          <w:sz w:val="20"/>
        </w:rPr>
        <w:t xml:space="preserve">Lee, H.L., Padmanabhan, V., &amp; Whang, S. (1997). </w:t>
      </w:r>
      <w:r>
        <w:rPr>
          <w:sz w:val="20"/>
        </w:rPr>
        <w:t>The bullwhip effect in supply chains. Sloan Management Review, 38(3), 93–102.</w:t>
      </w:r>
    </w:p>
    <w:p>
      <w:pPr>
        <w:spacing w:after="80"/>
        <w:ind w:left="504" w:hanging="504"/>
      </w:pPr>
      <w:r>
        <w:rPr>
          <w:b/>
          <w:sz w:val="20"/>
        </w:rPr>
        <w:t xml:space="preserve">Benchmark Mineral Intelligence (2022). </w:t>
      </w:r>
      <w:r>
        <w:rPr>
          <w:sz w:val="20"/>
        </w:rPr>
        <w:t>Lithium Carbonate Price Series 2021–2022.</w:t>
      </w:r>
    </w:p>
    <w:p>
      <w:pPr>
        <w:spacing w:after="80"/>
        <w:ind w:left="504" w:hanging="504"/>
      </w:pPr>
      <w:r>
        <w:rPr>
          <w:b/>
          <w:sz w:val="20"/>
        </w:rPr>
        <w:t xml:space="preserve">SMMT (2024). </w:t>
      </w:r>
      <w:r>
        <w:rPr>
          <w:sz w:val="20"/>
        </w:rPr>
        <w:t>SMMT New Car Registrations Data 2024. Society of Motor Manufacturers and Traders, UK.</w:t>
      </w:r>
    </w:p>
    <w:p>
      <w:pPr>
        <w:spacing w:after="80"/>
        <w:ind w:left="504" w:hanging="504"/>
      </w:pPr>
      <w:r>
        <w:rPr>
          <w:b/>
          <w:sz w:val="20"/>
        </w:rPr>
        <w:t xml:space="preserve">UK DfT (2023). </w:t>
      </w:r>
      <w:r>
        <w:rPr>
          <w:sz w:val="20"/>
        </w:rPr>
        <w:t>Zero Emission Vehicle (ZEV) Mandate: Consultation 2023. UK Department for Transport.</w:t>
      </w:r>
    </w:p>
    <w:p>
      <w:pPr>
        <w:spacing w:after="80"/>
        <w:ind w:left="504" w:hanging="504"/>
      </w:pPr>
      <w:r>
        <w:rPr>
          <w:b/>
          <w:sz w:val="20"/>
        </w:rPr>
        <w:t xml:space="preserve">BYD Co. Ltd (2023). </w:t>
      </w:r>
      <w:r>
        <w:rPr>
          <w:sz w:val="20"/>
        </w:rPr>
        <w:t>Annual Report 2023. BYD Company Limited.</w:t>
      </w:r>
    </w:p>
    <w:p>
      <w:pPr>
        <w:spacing w:after="80"/>
        <w:ind w:left="504" w:hanging="504"/>
      </w:pPr>
      <w:r>
        <w:rPr>
          <w:b/>
          <w:sz w:val="20"/>
        </w:rPr>
        <w:t xml:space="preserve">CATL (2023). </w:t>
      </w:r>
      <w:r>
        <w:rPr>
          <w:sz w:val="20"/>
        </w:rPr>
        <w:t>Annual Report 2023 (Chinese). Contemporary Amperex Technology Co. Limited.</w:t>
      </w:r>
    </w:p>
    <w:p>
      <w:pPr>
        <w:spacing w:after="80"/>
        <w:ind w:left="504" w:hanging="504"/>
      </w:pPr>
      <w:r>
        <w:rPr>
          <w:b/>
          <w:sz w:val="20"/>
        </w:rPr>
        <w:t xml:space="preserve">Wolfspeed Inc. (2023). </w:t>
      </w:r>
      <w:r>
        <w:rPr>
          <w:sz w:val="20"/>
        </w:rPr>
        <w:t>Annual Report on Form 10-K, FY2023. United States Securities and Exchange Commission.</w:t>
      </w:r>
    </w:p>
    <w:p>
      <w:pPr>
        <w:spacing w:after="80"/>
        <w:ind w:left="504" w:hanging="504"/>
      </w:pPr>
      <w:r>
        <w:rPr>
          <w:b/>
          <w:sz w:val="20"/>
        </w:rPr>
        <w:t xml:space="preserve">Aptiv PLC (2023). </w:t>
      </w:r>
      <w:r>
        <w:rPr>
          <w:sz w:val="20"/>
        </w:rPr>
        <w:t>Annual Report 2023. Aptiv PLC.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