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 Supply Chain ABM+SD Model</w:t>
      </w:r>
    </w:p>
    <w:p>
      <w:pPr>
        <w:pStyle w:val="Heading1"/>
        <w:jc w:val="center"/>
      </w:pPr>
      <w:r>
        <w:t>Methodology, Architecture, and Pseudo-Code</w:t>
      </w:r>
    </w:p>
    <w:p>
      <w:r>
        <w:br w:type="page"/>
      </w:r>
    </w:p>
    <w:p>
      <w:pPr>
        <w:pStyle w:val="Heading1"/>
      </w:pPr>
      <w:r>
        <w:t>1. Model Overview</w:t>
      </w:r>
    </w:p>
    <w:p>
      <w:r>
        <w:rPr>
          <w:b w:val="0"/>
          <w:i w:val="0"/>
        </w:rPr>
        <w:t>The EV Supply Chain model is a hybrid Agent-Based Model (ABM) and System Dynamics (SD) simulation of the UK electric vehicle battery supply chain. It integrates five supply chain tiers — critical minerals, cell manufacturing, Tier-1 sub-system suppliers, OEM assembly, and consumer markets — with a six-stock SD layer that provides price signals and material-flow accounting. The model is designed to evaluate the resilience of the UK EV supply chain to geopolitical shocks and assess the effectiveness of UK government policy interventions derived from the Advanced Manufacturing Sector Plan (DRIVE35).</w:t>
      </w:r>
    </w:p>
    <w:p>
      <w:pPr>
        <w:pStyle w:val="Heading2"/>
      </w:pPr>
      <w:r>
        <w:t>1.1 Design Philosophy</w:t>
      </w:r>
    </w:p>
    <w:p>
      <w:r>
        <w:rPr>
          <w:b/>
          <w:i w:val="0"/>
        </w:rPr>
        <w:t>ABM for heterogeneity and shock mechanics</w:t>
      </w:r>
    </w:p>
    <w:p>
      <w:r>
        <w:rPr>
          <w:b w:val="0"/>
          <w:i w:val="0"/>
        </w:rPr>
        <w:t>Individual agents represent distinct real-world entities (DRC cobalt mines, CATL, Wolfspeed SiC, JLR/UK OEM). Each agent has its own archetype (production floor, ordering policy, recovery rate) and responds to shocks independently. This enables geographically specific disruptions and firm-level policy targeting.</w:t>
      </w:r>
    </w:p>
    <w:p/>
    <w:p>
      <w:r>
        <w:rPr>
          <w:b/>
          <w:i w:val="0"/>
        </w:rPr>
        <w:t>SD for aggregate price formation and capacity dynamics</w:t>
      </w:r>
    </w:p>
    <w:p>
      <w:r>
        <w:rPr>
          <w:b w:val="0"/>
          <w:i w:val="0"/>
        </w:rPr>
        <w:t>The System Dynamics layer tracks six mineral stocks, five component stocks, and five feedback loops: price formation (F1), LFP chemistry substitution (F2), composite price signal (F3), cell capacity investment (F4), and demand/backlog (F5). SD provides smooth, analytically tractable macro-level dynamics that individual ABM agents cannot efficiently represent.</w:t>
      </w:r>
    </w:p>
    <w:p/>
    <w:p>
      <w:r>
        <w:rPr>
          <w:b/>
          <w:i w:val="0"/>
        </w:rPr>
        <w:t>Weekly time step</w:t>
      </w:r>
    </w:p>
    <w:p>
      <w:r>
        <w:rPr>
          <w:b w:val="0"/>
          <w:i w:val="0"/>
        </w:rPr>
        <w:t>The model advances in discrete weekly steps over a 260-week (5-year) horizon. This matches typical supply-chain planning cycles and industrial lead times (4–26 weeks).</w:t>
      </w:r>
    </w:p>
    <w:p/>
    <w:p>
      <w:r>
        <w:rPr>
          <w:b/>
          <w:i w:val="0"/>
        </w:rPr>
        <w:t>UK focus as the primary perspective</w:t>
      </w:r>
    </w:p>
    <w:p>
      <w:r>
        <w:rPr>
          <w:b w:val="0"/>
          <w:i w:val="0"/>
        </w:rPr>
        <w:t>The default configuration filters agents to the UK region for OEM and markets, while retaining all global mineral and cell agents. Mineral inflows to the SD layer are scaled by the UK market scope fraction (~2.4% of global demand) so that the SD stocks reflect UK-proportional exposure rather than global aggregates.</w:t>
      </w:r>
    </w:p>
    <w:p/>
    <w:p>
      <w:r>
        <w:br w:type="page"/>
      </w:r>
    </w:p>
    <w:p>
      <w:pPr>
        <w:pStyle w:val="Heading1"/>
      </w:pPr>
      <w:r>
        <w:t>2. Model Architecture</w:t>
      </w:r>
    </w:p>
    <w:p>
      <w:pPr>
        <w:pStyle w:val="Heading2"/>
      </w:pPr>
      <w:r>
        <w:t>2.1 Supply Chain Tiers and Agent Inventory</w:t>
      </w:r>
    </w:p>
    <w:p>
      <w:r>
        <w:rPr>
          <w:b/>
          <w:i/>
        </w:rPr>
        <w:t>Table M1: Supply chain tiers and agent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rPr>
              <w:t>Tier</w:t>
            </w:r>
          </w:p>
        </w:tc>
        <w:tc>
          <w:tcPr>
            <w:tcW w:type="dxa" w:w="2160"/>
            <w:shd w:val="clear" w:color="auto" w:fill="1F4E79"/>
          </w:tcPr>
          <w:p>
            <w:pPr>
              <w:jc w:val="center"/>
            </w:pPr>
            <w:r>
              <w:rPr>
                <w:b/>
                <w:color w:val="FFFFFF"/>
              </w:rPr>
              <w:t>Agent Count</w:t>
            </w:r>
          </w:p>
        </w:tc>
        <w:tc>
          <w:tcPr>
            <w:tcW w:type="dxa" w:w="2160"/>
            <w:shd w:val="clear" w:color="auto" w:fill="1F4E79"/>
          </w:tcPr>
          <w:p>
            <w:pPr>
              <w:jc w:val="center"/>
            </w:pPr>
            <w:r>
              <w:rPr>
                <w:b/>
                <w:color w:val="FFFFFF"/>
              </w:rPr>
              <w:t>Agent Class</w:t>
            </w:r>
          </w:p>
        </w:tc>
        <w:tc>
          <w:tcPr>
            <w:tcW w:type="dxa" w:w="2160"/>
            <w:shd w:val="clear" w:color="auto" w:fill="1F4E79"/>
          </w:tcPr>
          <w:p>
            <w:pPr>
              <w:jc w:val="center"/>
            </w:pPr>
            <w:r>
              <w:rPr>
                <w:b/>
                <w:color w:val="FFFFFF"/>
              </w:rPr>
              <w:t>Entities Represented</w:t>
            </w:r>
          </w:p>
        </w:tc>
      </w:tr>
      <w:tr>
        <w:tc>
          <w:tcPr>
            <w:tcW w:type="dxa" w:w="2160"/>
          </w:tcPr>
          <w:p>
            <w:pPr>
              <w:jc w:val="center"/>
            </w:pPr>
            <w:r>
              <w:t>Tier 1 — Critical Minerals</w:t>
            </w:r>
          </w:p>
        </w:tc>
        <w:tc>
          <w:tcPr>
            <w:tcW w:type="dxa" w:w="2160"/>
          </w:tcPr>
          <w:p>
            <w:pPr>
              <w:jc w:val="center"/>
            </w:pPr>
            <w:r>
              <w:t>14</w:t>
            </w:r>
          </w:p>
        </w:tc>
        <w:tc>
          <w:tcPr>
            <w:tcW w:type="dxa" w:w="2160"/>
          </w:tcPr>
          <w:p>
            <w:pPr>
              <w:jc w:val="center"/>
            </w:pPr>
            <w:r>
              <w:t>MineralSupplierAgent</w:t>
            </w:r>
          </w:p>
        </w:tc>
        <w:tc>
          <w:tcPr>
            <w:tcW w:type="dxa" w:w="2160"/>
          </w:tcPr>
          <w:p>
            <w:pPr>
              <w:jc w:val="center"/>
            </w:pPr>
            <w:r>
              <w:t>DRC cobalt (×2), Australia/Chile lithium (×3), China/Mozambique graphite (×3), China REE (×2), Wolfspeed/Coherent/China SiC (×3), copper (×1)</w:t>
            </w:r>
          </w:p>
        </w:tc>
      </w:tr>
      <w:tr>
        <w:tc>
          <w:tcPr>
            <w:tcW w:type="dxa" w:w="2160"/>
          </w:tcPr>
          <w:p>
            <w:pPr>
              <w:jc w:val="center"/>
            </w:pPr>
            <w:r>
              <w:t>Tier 2 — Cell Manufacturers</w:t>
            </w:r>
          </w:p>
        </w:tc>
        <w:tc>
          <w:tcPr>
            <w:tcW w:type="dxa" w:w="2160"/>
          </w:tcPr>
          <w:p>
            <w:pPr>
              <w:jc w:val="center"/>
            </w:pPr>
            <w:r>
              <w:t>9</w:t>
            </w:r>
          </w:p>
        </w:tc>
        <w:tc>
          <w:tcPr>
            <w:tcW w:type="dxa" w:w="2160"/>
          </w:tcPr>
          <w:p>
            <w:pPr>
              <w:jc w:val="center"/>
            </w:pPr>
            <w:r>
              <w:t>CellManufacturerAgent</w:t>
            </w:r>
          </w:p>
        </w:tc>
        <w:tc>
          <w:tcPr>
            <w:tcW w:type="dxa" w:w="2160"/>
          </w:tcPr>
          <w:p>
            <w:pPr>
              <w:jc w:val="center"/>
            </w:pPr>
            <w:r>
              <w:t>CATL, BYD Cells, AESC UK, LG Energy, Samsung SDI, SK On, Panasonic, Northvolt, SVOLT</w:t>
            </w:r>
          </w:p>
        </w:tc>
      </w:tr>
      <w:tr>
        <w:tc>
          <w:tcPr>
            <w:tcW w:type="dxa" w:w="2160"/>
          </w:tcPr>
          <w:p>
            <w:pPr>
              <w:jc w:val="center"/>
            </w:pPr>
            <w:r>
              <w:t>Tier 3 — Tier-1 Sub-systems</w:t>
            </w:r>
          </w:p>
        </w:tc>
        <w:tc>
          <w:tcPr>
            <w:tcW w:type="dxa" w:w="2160"/>
          </w:tcPr>
          <w:p>
            <w:pPr>
              <w:jc w:val="center"/>
            </w:pPr>
            <w:r>
              <w:t>4</w:t>
            </w:r>
          </w:p>
        </w:tc>
        <w:tc>
          <w:tcPr>
            <w:tcW w:type="dxa" w:w="2160"/>
          </w:tcPr>
          <w:p>
            <w:pPr>
              <w:jc w:val="center"/>
            </w:pPr>
            <w:r>
              <w:t>Tier1SupplierAgent</w:t>
            </w:r>
          </w:p>
        </w:tc>
        <w:tc>
          <w:tcPr>
            <w:tcW w:type="dxa" w:w="2160"/>
          </w:tcPr>
          <w:p>
            <w:pPr>
              <w:jc w:val="center"/>
            </w:pPr>
            <w:r>
              <w:t>Battery pack integrator, inverter (SiC), motor (REE/PMSM), wiring harness</w:t>
            </w:r>
          </w:p>
        </w:tc>
      </w:tr>
      <w:tr>
        <w:tc>
          <w:tcPr>
            <w:tcW w:type="dxa" w:w="2160"/>
          </w:tcPr>
          <w:p>
            <w:pPr>
              <w:jc w:val="center"/>
            </w:pPr>
            <w:r>
              <w:t>Tier 4 — OEM Assembly</w:t>
            </w:r>
          </w:p>
        </w:tc>
        <w:tc>
          <w:tcPr>
            <w:tcW w:type="dxa" w:w="2160"/>
          </w:tcPr>
          <w:p>
            <w:pPr>
              <w:jc w:val="center"/>
            </w:pPr>
            <w:r>
              <w:t>1–7</w:t>
            </w:r>
          </w:p>
        </w:tc>
        <w:tc>
          <w:tcPr>
            <w:tcW w:type="dxa" w:w="2160"/>
          </w:tcPr>
          <w:p>
            <w:pPr>
              <w:jc w:val="center"/>
            </w:pPr>
            <w:r>
              <w:t>OEMAgent</w:t>
            </w:r>
          </w:p>
        </w:tc>
        <w:tc>
          <w:tcPr>
            <w:tcW w:type="dxa" w:w="2160"/>
          </w:tcPr>
          <w:p>
            <w:pPr>
              <w:jc w:val="center"/>
            </w:pPr>
            <w:r>
              <w:t>UK OEM (JLR proxy); global run adds BYD, GM/Ford, VW, Hyundai, Toyota</w:t>
            </w:r>
          </w:p>
        </w:tc>
      </w:tr>
      <w:tr>
        <w:tc>
          <w:tcPr>
            <w:tcW w:type="dxa" w:w="2160"/>
          </w:tcPr>
          <w:p>
            <w:pPr>
              <w:jc w:val="center"/>
            </w:pPr>
            <w:r>
              <w:t>Tier 5 — Markets</w:t>
            </w:r>
          </w:p>
        </w:tc>
        <w:tc>
          <w:tcPr>
            <w:tcW w:type="dxa" w:w="2160"/>
          </w:tcPr>
          <w:p>
            <w:pPr>
              <w:jc w:val="center"/>
            </w:pPr>
            <w:r>
              <w:t>1–6</w:t>
            </w:r>
          </w:p>
        </w:tc>
        <w:tc>
          <w:tcPr>
            <w:tcW w:type="dxa" w:w="2160"/>
          </w:tcPr>
          <w:p>
            <w:pPr>
              <w:jc w:val="center"/>
            </w:pPr>
            <w:r>
              <w:t>MarketAgent</w:t>
            </w:r>
          </w:p>
        </w:tc>
        <w:tc>
          <w:tcPr>
            <w:tcW w:type="dxa" w:w="2160"/>
          </w:tcPr>
          <w:p>
            <w:pPr>
              <w:jc w:val="center"/>
            </w:pPr>
            <w:r>
              <w:t>UK, China, USA, Europe, Korea, Japan</w:t>
            </w:r>
          </w:p>
        </w:tc>
      </w:tr>
      <w:tr>
        <w:tc>
          <w:tcPr>
            <w:tcW w:type="dxa" w:w="2160"/>
          </w:tcPr>
          <w:p>
            <w:pPr>
              <w:jc w:val="center"/>
            </w:pPr>
            <w:r>
              <w:t>SD Layer</w:t>
            </w:r>
          </w:p>
        </w:tc>
        <w:tc>
          <w:tcPr>
            <w:tcW w:type="dxa" w:w="2160"/>
          </w:tcPr>
          <w:p>
            <w:pPr>
              <w:jc w:val="center"/>
            </w:pPr>
            <w:r>
              <w:t>—</w:t>
            </w:r>
          </w:p>
        </w:tc>
        <w:tc>
          <w:tcPr>
            <w:tcW w:type="dxa" w:w="2160"/>
          </w:tcPr>
          <w:p>
            <w:pPr>
              <w:jc w:val="center"/>
            </w:pPr>
            <w:r>
              <w:t>SDModel</w:t>
            </w:r>
          </w:p>
        </w:tc>
        <w:tc>
          <w:tcPr>
            <w:tcW w:type="dxa" w:w="2160"/>
          </w:tcPr>
          <w:p>
            <w:pPr>
              <w:jc w:val="center"/>
            </w:pPr>
            <w:r>
              <w:t>6 mineral stocks, 5 component stocks, 5 feedback loops, Erlang cell capacity pipeline, chemistry mix, bullwhip index</w:t>
            </w:r>
          </w:p>
        </w:tc>
      </w:tr>
    </w:tbl>
    <w:p/>
    <w:p>
      <w:pPr>
        <w:pStyle w:val="Heading2"/>
      </w:pPr>
      <w:r>
        <w:t>2.2 Feedback Loops (SD Layer)</w:t>
      </w:r>
    </w:p>
    <w:p>
      <w:r>
        <w:rPr>
          <w:b/>
          <w:i w:val="0"/>
        </w:rPr>
        <w:t>F1 — Supply–Demand Price Formation (Balancing)</w:t>
      </w:r>
    </w:p>
    <w:p>
      <w:r>
        <w:rPr>
          <w:b w:val="0"/>
          <w:i w:val="0"/>
        </w:rPr>
        <w:t>Mineral and component prices adjust toward scarcity signals. For each tracked stock: deviation = (measured_stock − target) / target. Price adjusts via a softplus scarcity function: p_new = p_old × (1 − adj_speed × deviation). Asymmetric recovery: price falls 1.5× faster than it rises after a shock, preventing permanent price elevation. Prices are bounded in [0.5, 6.0].</w:t>
      </w:r>
    </w:p>
    <w:p/>
    <w:p>
      <w:r>
        <w:rPr>
          <w:b/>
          <w:i w:val="0"/>
        </w:rPr>
        <w:t>F2 — Chemistry Substitution Loop (Reinforcing/Balancing)</w:t>
      </w:r>
    </w:p>
    <w:p>
      <w:r>
        <w:rPr>
          <w:b w:val="0"/>
          <w:i w:val="0"/>
        </w:rPr>
        <w:t>When cobalt prices rise, OEM and cell producers shift toward LFP (lithium-iron-phosphate) chemistry that requires no cobalt. The LFP target share follows a logistic function of cobalt price, with a 4-week adoption lag. The shift speed is asymmetric: 1.2× faster when moving toward higher LFP share, 0.8× when reversing — reflecting real-world retooling inertia.</w:t>
      </w:r>
    </w:p>
    <w:p/>
    <w:p>
      <w:r>
        <w:rPr>
          <w:b/>
          <w:i w:val="0"/>
        </w:rPr>
        <w:t>F3 — Composite Battery Price Signal (Balancing)</w:t>
      </w:r>
    </w:p>
    <w:p>
      <w:r>
        <w:rPr>
          <w:b w:val="0"/>
          <w:i w:val="0"/>
        </w:rPr>
        <w:t>A bill-of-materials weighted composite price index aggregates mineral prices (Li 35%, Co 25%, Gr 20%, REE 10%, SiC 10%) and component prices. This signal feeds MarketAgent demand via price elasticity and drives OEMAgent production decisions.</w:t>
      </w:r>
    </w:p>
    <w:p/>
    <w:p>
      <w:r>
        <w:rPr>
          <w:b/>
          <w:i w:val="0"/>
        </w:rPr>
        <w:t>F4 — Cell Capacity Investment (Reinforcing)</w:t>
      </w:r>
    </w:p>
    <w:p>
      <w:r>
        <w:rPr>
          <w:b w:val="0"/>
          <w:i w:val="0"/>
        </w:rPr>
        <w:t>When cell capacity utilisation exceeds the CAPEX trigger threshold (85%), new investment enters a three-stage Erlang construction pipeline (26-week planning + 104-week build). Capacity expands upon pipeline completion. Policy can reduce the trigger threshold and accelerate build speed.</w:t>
      </w:r>
    </w:p>
    <w:p/>
    <w:p>
      <w:r>
        <w:rPr>
          <w:b/>
          <w:i w:val="0"/>
        </w:rPr>
        <w:t>F5 — Demand and Backlog Accumulation (Reinforcing)</w:t>
      </w:r>
    </w:p>
    <w:p>
      <w:r>
        <w:rPr>
          <w:b w:val="0"/>
          <w:i w:val="0"/>
        </w:rPr>
        <w:t>Weekly EV demand grows at the IEA-calibrated rate. When OEM production falls short of demand, backlog accumulates. The backlog signals OEM agents to increase production targets. Policy can boost demand growth and accelerate backlog clearance.</w:t>
      </w:r>
    </w:p>
    <w:p/>
    <w:p>
      <w:r>
        <w:br w:type="page"/>
      </w:r>
    </w:p>
    <w:p>
      <w:pPr>
        <w:pStyle w:val="Heading1"/>
      </w:pPr>
      <w:r>
        <w:t>3. Agent Specifications</w:t>
      </w:r>
    </w:p>
    <w:p>
      <w:pPr>
        <w:pStyle w:val="Heading2"/>
      </w:pPr>
      <w:r>
        <w:t>3.1 MineralSupplierAgent</w:t>
      </w:r>
    </w:p>
    <w:p>
      <w:r>
        <w:rPr>
          <w:b w:val="0"/>
          <w:i w:val="0"/>
        </w:rPr>
        <w:t>Represents a single mineral extraction/processing entity at a specific geographic location. Key state variables: output_fraction [0,1], shock_multiplier, weekly_supply_contribution (= global_share × ev_share × output_fraction). Production function: output_fraction decays under a shock and recovers at rate recovery_rate_wk per week after resolve_shock(). Archetype subclasses (StateBacked, WesternMiner, GreenfieldBuilder) set different production floors, recovery rates, and policy absorption factors.</w:t>
      </w:r>
    </w:p>
    <w:p>
      <w:pPr>
        <w:pStyle w:val="Heading2"/>
      </w:pPr>
      <w:r>
        <w:t>3.2 CellManufacturerAgent</w:t>
      </w:r>
    </w:p>
    <w:p>
      <w:r>
        <w:rPr>
          <w:b w:val="0"/>
          <w:i w:val="0"/>
        </w:rPr>
        <w:t>Implements a Leontief production function over three mineral inputs (lithium, cobalt, graphite), where output is proportional to the minimum input availability. LFP cells substitute cobalt entirely. Inventory is managed via an order-up-to policy with a FIFO pipeline. The NMC/LFP fraction determines cobalt sensitivity and transitions with a 4-week lag based on the cobalt price signal. Archetypes: PlatformLeader, HyperScaleChallenger, IncumbentUnderPressure — differ in capacity growth rate and financial resilience.</w:t>
      </w:r>
    </w:p>
    <w:p>
      <w:pPr>
        <w:pStyle w:val="Heading2"/>
      </w:pPr>
      <w:r>
        <w:t>3.3 Tier1SupplierAgent</w:t>
      </w:r>
    </w:p>
    <w:p>
      <w:r>
        <w:rPr>
          <w:b w:val="0"/>
          <w:i w:val="0"/>
        </w:rPr>
        <w:t>Models harness (copper-dependent), inverter (SiC-dependent), motor (REE-dependent), and battery pack integration. Output is constrained by a partial Leontief term: constraint = (1 − dep) + dep × input_fraction. Orders are placed via an order-up-to rule amplified by a bullwhip factor. Dual sourcing activates at 20% cost premium when inventory falls below 20% of target. A FIFO transit pipeline introduces a 4–12 week lead time. Archetypes: PremiumPowerElectronics, EstablishedVolumeSupplier, BatteryPackIntegrator.</w:t>
      </w:r>
    </w:p>
    <w:p>
      <w:pPr>
        <w:pStyle w:val="Heading2"/>
      </w:pPr>
      <w:r>
        <w:t>3.4 OEMAgent</w:t>
      </w:r>
    </w:p>
    <w:p>
      <w:r>
        <w:rPr>
          <w:b w:val="0"/>
          <w:i w:val="0"/>
        </w:rPr>
        <w:t>Strict Leontief production over four inputs: battery pack, inverter, motor, harness. Producible = min(pack_inv, inverter_inv, motor_inv, harness_inv). Vertical integration (0–30%) provides a partial internal bridge. Halt weeks are recorded when production falls below 10% of the weekly target. Backlog accumulates when demand exceeds production. Archetypes: PremiumManufacturer, MassMarketOEM, StateBackedOEM.</w:t>
      </w:r>
    </w:p>
    <w:p>
      <w:pPr>
        <w:pStyle w:val="Heading2"/>
      </w:pPr>
      <w:r>
        <w:t>3.5 MarketAgent</w:t>
      </w:r>
    </w:p>
    <w:p>
      <w:r>
        <w:rPr>
          <w:b w:val="0"/>
          <w:i w:val="0"/>
        </w:rPr>
        <w:t>Generates EV demand for a geographic market. Demand grows at a fixed YoY rate (IEA-calibrated per region, 28%/yr for UK). Price elasticity (default −0.30) reduces demand when the composite price signal exceeds 1.0. Backlog sensitivity (0.35) translates unmet demand into a suppression term on future demand to prevent unbounded backlog accumulation. An availability floor (0.55) prevents demand from collapsing below a minimum level.</w:t>
      </w:r>
    </w:p>
    <w:p>
      <w:r>
        <w:br w:type="page"/>
      </w:r>
    </w:p>
    <w:p>
      <w:pPr>
        <w:pStyle w:val="Heading1"/>
      </w:pPr>
      <w:r>
        <w:t>4. Shock Mechanism</w:t>
      </w:r>
    </w:p>
    <w:p>
      <w:r>
        <w:rPr>
          <w:b w:val="0"/>
          <w:i w:val="0"/>
        </w:rPr>
        <w:t>Shocks are defined in a scenario dictionary specifying target agent, start_week, end_week, and severity ∈ [0,1]. The effective severity applied to an agent is reduced by two layered absorption factors:</w:t>
      </w:r>
    </w:p>
    <w:p>
      <w:r>
        <w:rPr>
          <w:b w:val="0"/>
          <w:i/>
        </w:rPr>
        <w:t>effective_severity = raw_severity × (1 − policy_shock_absorption) × (1 − model.policy_shock_mitigation[target])</w:t>
      </w:r>
    </w:p>
    <w:p>
      <w:r>
        <w:rPr>
          <w:b w:val="0"/>
          <w:i w:val="0"/>
        </w:rPr>
        <w:t>policy_shock_absorption is a per-agent parameter set by policy packages (up to 35%). policy_shock_mitigation is a per-target dictionary set at model level by the policy packages (up to 60% for the Full Strategy). After a shock resolves, the agent's shock_multiplier recovers by recovery_rate_wk per week until it returns to 1.0.</w:t>
      </w:r>
    </w:p>
    <w:p>
      <w:pPr>
        <w:pStyle w:val="Heading1"/>
      </w:pPr>
      <w:r>
        <w:t>5. Government Policy Packages</w:t>
      </w:r>
    </w:p>
    <w:p>
      <w:r>
        <w:rPr>
          <w:b w:val="0"/>
          <w:i w:val="0"/>
        </w:rPr>
        <w:t>Four packages derived from the UK DRIVE35 Advanced Manufacturing Sector Plan are implemented as model levers rather than fiscal accounting:</w:t>
      </w:r>
    </w:p>
    <w:p>
      <w:r>
        <w:rPr>
          <w:b/>
          <w:i w:val="0"/>
        </w:rPr>
        <w:t>Battery Sovereignty Package</w:t>
      </w:r>
    </w:p>
    <w:p>
      <w:r>
        <w:rPr>
          <w:b w:val="0"/>
          <w:i w:val="0"/>
        </w:rPr>
        <w:t>ABM: AESC UK cell capacity ×2.25, capacity_growth_wk ×1.65, recovery_rate ×1.35, safety_stock_weeks ×1.35. Non-UK cell agents: capacity_growth ×1.20, stock ×1.15. SD: capex_trigger_reduction=0.08, build_speed_mult=1.20, policy_shock_mitigation: CATL 0.25, BYD 0.10, graphite_chn 0.12.</w:t>
      </w:r>
    </w:p>
    <w:p/>
    <w:p>
      <w:r>
        <w:rPr>
          <w:b/>
          <w:i w:val="0"/>
        </w:rPr>
        <w:t>Tier-1 Resilience Package</w:t>
      </w:r>
    </w:p>
    <w:p>
      <w:r>
        <w:rPr>
          <w:b w:val="0"/>
          <w:i w:val="0"/>
        </w:rPr>
        <w:t>ABM: harness safety_stock ×1.45, others ×1.25; all Tier-1 recovery ×1.30, capacity_growth ×1.20; UK OEM recovery ×1.25. SD: backlog_clearance_boost=0.30, bullwhip_smooth_mult +0.30 (visibility). policy_shock_mitigation: harness 0.35, UK OEM 0.20.</w:t>
      </w:r>
    </w:p>
    <w:p/>
    <w:p>
      <w:r>
        <w:rPr>
          <w:b/>
          <w:i w:val="0"/>
        </w:rPr>
        <w:t>Critical Minerals Security Package</w:t>
      </w:r>
    </w:p>
    <w:p>
      <w:r>
        <w:rPr>
          <w:b w:val="0"/>
          <w:i w:val="0"/>
        </w:rPr>
        <w:t>SD stock injection: cobalt +2 wk, graphite +2 wk, REE +3 wk, SiC +3 wk, Li +1 wk. Recycling outflow reduction: 5–15% per mineral. Supply boost: cobalt/graphite ×1.08, others ×1.05. policy_shock_mitigation: cobalt 0.35, graphite 0.35, REE 0.35.</w:t>
      </w:r>
    </w:p>
    <w:p/>
    <w:p>
      <w:r>
        <w:rPr>
          <w:b/>
          <w:i w:val="0"/>
        </w:rPr>
        <w:t>Full Industrial Strategy (DRIVE35 Combined)</w:t>
      </w:r>
    </w:p>
    <w:p>
      <w:r>
        <w:rPr>
          <w:b w:val="0"/>
          <w:i w:val="0"/>
        </w:rPr>
        <w:t>All three packages above, plus: capacity_growth ×1.10 and recovery ×1.10 across ALL agents; policy_shock_mitigation raised by +0.08 on all targets (capped 0.60); UK OEM vertical_integration +0.10 (capped 0.30). SD: demand_growth_boost_wk +0.0008/wk additional, price_recovery_boost +0.20.</w:t>
      </w:r>
    </w:p>
    <w:p/>
    <w:p>
      <w:r>
        <w:rPr>
          <w:b w:val="0"/>
          <w:i w:val="0"/>
        </w:rPr>
        <w:t>All policy effects are introduced via a 13-week linear ramp to avoid discontinuous state jumps that would produce artefactual model behaviour.</w:t>
      </w:r>
    </w:p>
    <w:p>
      <w:r>
        <w:br w:type="page"/>
      </w:r>
    </w:p>
    <w:p>
      <w:pPr>
        <w:pStyle w:val="Heading1"/>
      </w:pPr>
      <w:r>
        <w:t>6. Calibration and Data Sources</w:t>
      </w:r>
    </w:p>
    <w:p>
      <w:r>
        <w:rPr>
          <w:b/>
          <w:i/>
        </w:rPr>
        <w:t>Table M2: Calibration parameters and data sources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rPr>
              <w:t>Parameter</w:t>
            </w:r>
          </w:p>
        </w:tc>
        <w:tc>
          <w:tcPr>
            <w:tcW w:type="dxa" w:w="2880"/>
            <w:shd w:val="clear" w:color="auto" w:fill="1F4E79"/>
          </w:tcPr>
          <w:p>
            <w:pPr>
              <w:jc w:val="center"/>
            </w:pPr>
            <w:r>
              <w:rPr>
                <w:b/>
                <w:color w:val="FFFFFF"/>
              </w:rPr>
              <w:t>Source</w:t>
            </w:r>
          </w:p>
        </w:tc>
        <w:tc>
          <w:tcPr>
            <w:tcW w:type="dxa" w:w="2880"/>
            <w:shd w:val="clear" w:color="auto" w:fill="1F4E79"/>
          </w:tcPr>
          <w:p>
            <w:pPr>
              <w:jc w:val="center"/>
            </w:pPr>
            <w:r>
              <w:rPr>
                <w:b/>
                <w:color w:val="FFFFFF"/>
              </w:rPr>
              <w:t>Value / Range</w:t>
            </w:r>
          </w:p>
        </w:tc>
      </w:tr>
      <w:tr>
        <w:tc>
          <w:tcPr>
            <w:tcW w:type="dxa" w:w="2880"/>
          </w:tcPr>
          <w:p>
            <w:pPr>
              <w:jc w:val="center"/>
            </w:pPr>
            <w:r>
              <w:t>Global EV demand 2023</w:t>
            </w:r>
          </w:p>
        </w:tc>
        <w:tc>
          <w:tcPr>
            <w:tcW w:type="dxa" w:w="2880"/>
          </w:tcPr>
          <w:p>
            <w:pPr>
              <w:jc w:val="center"/>
            </w:pPr>
            <w:r>
              <w:t>IEA Global EV Outlook 2024</w:t>
            </w:r>
          </w:p>
        </w:tc>
        <w:tc>
          <w:tcPr>
            <w:tcW w:type="dxa" w:w="2880"/>
          </w:tcPr>
          <w:p>
            <w:pPr>
              <w:jc w:val="center"/>
            </w:pPr>
            <w:r>
              <w:t>822 GWh/yr, 14,000 k vehicles</w:t>
            </w:r>
          </w:p>
        </w:tc>
      </w:tr>
      <w:tr>
        <w:tc>
          <w:tcPr>
            <w:tcW w:type="dxa" w:w="2880"/>
          </w:tcPr>
          <w:p>
            <w:pPr>
              <w:jc w:val="center"/>
            </w:pPr>
            <w:r>
              <w:t>UK EV market demand 2023</w:t>
            </w:r>
          </w:p>
        </w:tc>
        <w:tc>
          <w:tcPr>
            <w:tcW w:type="dxa" w:w="2880"/>
          </w:tcPr>
          <w:p>
            <w:pPr>
              <w:jc w:val="center"/>
            </w:pPr>
            <w:r>
              <w:t>IEA / SMMT 2024</w:t>
            </w:r>
          </w:p>
        </w:tc>
        <w:tc>
          <w:tcPr>
            <w:tcW w:type="dxa" w:w="2880"/>
          </w:tcPr>
          <w:p>
            <w:pPr>
              <w:jc w:val="center"/>
            </w:pPr>
            <w:r>
              <w:t>20.0 GWh/yr; 175 k EV/yr target</w:t>
            </w:r>
          </w:p>
        </w:tc>
      </w:tr>
      <w:tr>
        <w:tc>
          <w:tcPr>
            <w:tcW w:type="dxa" w:w="2880"/>
          </w:tcPr>
          <w:p>
            <w:pPr>
              <w:jc w:val="center"/>
            </w:pPr>
            <w:r>
              <w:t>EV demand growth rate</w:t>
            </w:r>
          </w:p>
        </w:tc>
        <w:tc>
          <w:tcPr>
            <w:tcW w:type="dxa" w:w="2880"/>
          </w:tcPr>
          <w:p>
            <w:pPr>
              <w:jc w:val="center"/>
            </w:pPr>
            <w:r>
              <w:t>IEA NZE Scenario 2024</w:t>
            </w:r>
          </w:p>
        </w:tc>
        <w:tc>
          <w:tcPr>
            <w:tcW w:type="dxa" w:w="2880"/>
          </w:tcPr>
          <w:p>
            <w:pPr>
              <w:jc w:val="center"/>
            </w:pPr>
            <w:r>
              <w:t>28%/yr UK; 29%/yr global</w:t>
            </w:r>
          </w:p>
        </w:tc>
      </w:tr>
      <w:tr>
        <w:tc>
          <w:tcPr>
            <w:tcW w:type="dxa" w:w="2880"/>
          </w:tcPr>
          <w:p>
            <w:pPr>
              <w:jc w:val="center"/>
            </w:pPr>
            <w:r>
              <w:t>LFP chemistry share 2023</w:t>
            </w:r>
          </w:p>
        </w:tc>
        <w:tc>
          <w:tcPr>
            <w:tcW w:type="dxa" w:w="2880"/>
          </w:tcPr>
          <w:p>
            <w:pPr>
              <w:jc w:val="center"/>
            </w:pPr>
            <w:r>
              <w:t>BloombergNEF BNEF 2024</w:t>
            </w:r>
          </w:p>
        </w:tc>
        <w:tc>
          <w:tcPr>
            <w:tcW w:type="dxa" w:w="2880"/>
          </w:tcPr>
          <w:p>
            <w:pPr>
              <w:jc w:val="center"/>
            </w:pPr>
            <w:r>
              <w:t>40% LFP globally</w:t>
            </w:r>
          </w:p>
        </w:tc>
      </w:tr>
      <w:tr>
        <w:tc>
          <w:tcPr>
            <w:tcW w:type="dxa" w:w="2880"/>
          </w:tcPr>
          <w:p>
            <w:pPr>
              <w:jc w:val="center"/>
            </w:pPr>
            <w:r>
              <w:t>Cobalt safety stock target</w:t>
            </w:r>
          </w:p>
        </w:tc>
        <w:tc>
          <w:tcPr>
            <w:tcW w:type="dxa" w:w="2880"/>
          </w:tcPr>
          <w:p>
            <w:pPr>
              <w:jc w:val="center"/>
            </w:pPr>
            <w:r>
              <w:t>USGS MCS 2024 + IEA CMMR 2023</w:t>
            </w:r>
          </w:p>
        </w:tc>
        <w:tc>
          <w:tcPr>
            <w:tcW w:type="dxa" w:w="2880"/>
          </w:tcPr>
          <w:p>
            <w:pPr>
              <w:jc w:val="center"/>
            </w:pPr>
            <w:r>
              <w:t>6 weeks (DRC political risk)</w:t>
            </w:r>
          </w:p>
        </w:tc>
      </w:tr>
      <w:tr>
        <w:tc>
          <w:tcPr>
            <w:tcW w:type="dxa" w:w="2880"/>
          </w:tcPr>
          <w:p>
            <w:pPr>
              <w:jc w:val="center"/>
            </w:pPr>
            <w:r>
              <w:t>REE stock target</w:t>
            </w:r>
          </w:p>
        </w:tc>
        <w:tc>
          <w:tcPr>
            <w:tcW w:type="dxa" w:w="2880"/>
          </w:tcPr>
          <w:p>
            <w:pPr>
              <w:jc w:val="center"/>
            </w:pPr>
            <w:r>
              <w:t>IEA CMMR 2023</w:t>
            </w:r>
          </w:p>
        </w:tc>
        <w:tc>
          <w:tcPr>
            <w:tcW w:type="dxa" w:w="2880"/>
          </w:tcPr>
          <w:p>
            <w:pPr>
              <w:jc w:val="center"/>
            </w:pPr>
            <w:r>
              <w:t>8 weeks (China-dominant chain)</w:t>
            </w:r>
          </w:p>
        </w:tc>
      </w:tr>
      <w:tr>
        <w:tc>
          <w:tcPr>
            <w:tcW w:type="dxa" w:w="2880"/>
          </w:tcPr>
          <w:p>
            <w:pPr>
              <w:jc w:val="center"/>
            </w:pPr>
            <w:r>
              <w:t>SiC lead time</w:t>
            </w:r>
          </w:p>
        </w:tc>
        <w:tc>
          <w:tcPr>
            <w:tcW w:type="dxa" w:w="2880"/>
          </w:tcPr>
          <w:p>
            <w:pPr>
              <w:jc w:val="center"/>
            </w:pPr>
            <w:r>
              <w:t>Industry reports (Wolfspeed 2024)</w:t>
            </w:r>
          </w:p>
        </w:tc>
        <w:tc>
          <w:tcPr>
            <w:tcW w:type="dxa" w:w="2880"/>
          </w:tcPr>
          <w:p>
            <w:pPr>
              <w:jc w:val="center"/>
            </w:pPr>
            <w:r>
              <w:t>26 weeks; 12-week buffer</w:t>
            </w:r>
          </w:p>
        </w:tc>
      </w:tr>
      <w:tr>
        <w:tc>
          <w:tcPr>
            <w:tcW w:type="dxa" w:w="2880"/>
          </w:tcPr>
          <w:p>
            <w:pPr>
              <w:jc w:val="center"/>
            </w:pPr>
            <w:r>
              <w:t>Graphite China supply share</w:t>
            </w:r>
          </w:p>
        </w:tc>
        <w:tc>
          <w:tcPr>
            <w:tcW w:type="dxa" w:w="2880"/>
          </w:tcPr>
          <w:p>
            <w:pPr>
              <w:jc w:val="center"/>
            </w:pPr>
            <w:r>
              <w:t>USGS MCS 2024</w:t>
            </w:r>
          </w:p>
        </w:tc>
        <w:tc>
          <w:tcPr>
            <w:tcW w:type="dxa" w:w="2880"/>
          </w:tcPr>
          <w:p>
            <w:pPr>
              <w:jc w:val="center"/>
            </w:pPr>
            <w:r>
              <w:t>67% of global natural graphite</w:t>
            </w:r>
          </w:p>
        </w:tc>
      </w:tr>
      <w:tr>
        <w:tc>
          <w:tcPr>
            <w:tcW w:type="dxa" w:w="2880"/>
          </w:tcPr>
          <w:p>
            <w:pPr>
              <w:jc w:val="center"/>
            </w:pPr>
            <w:r>
              <w:t>DRC cobalt supply share</w:t>
            </w:r>
          </w:p>
        </w:tc>
        <w:tc>
          <w:tcPr>
            <w:tcW w:type="dxa" w:w="2880"/>
          </w:tcPr>
          <w:p>
            <w:pPr>
              <w:jc w:val="center"/>
            </w:pPr>
            <w:r>
              <w:t>USGS MCS 2024</w:t>
            </w:r>
          </w:p>
        </w:tc>
        <w:tc>
          <w:tcPr>
            <w:tcW w:type="dxa" w:w="2880"/>
          </w:tcPr>
          <w:p>
            <w:pPr>
              <w:jc w:val="center"/>
            </w:pPr>
            <w:r>
              <w:t>70% of global cobalt</w:t>
            </w:r>
          </w:p>
        </w:tc>
      </w:tr>
      <w:tr>
        <w:tc>
          <w:tcPr>
            <w:tcW w:type="dxa" w:w="2880"/>
          </w:tcPr>
          <w:p>
            <w:pPr>
              <w:jc w:val="center"/>
            </w:pPr>
            <w:r>
              <w:t>UK OEM production proxy</w:t>
            </w:r>
          </w:p>
        </w:tc>
        <w:tc>
          <w:tcPr>
            <w:tcW w:type="dxa" w:w="2880"/>
          </w:tcPr>
          <w:p>
            <w:pPr>
              <w:jc w:val="center"/>
            </w:pPr>
            <w:r>
              <w:t>SMMT 2024 Annual Report</w:t>
            </w:r>
          </w:p>
        </w:tc>
        <w:tc>
          <w:tcPr>
            <w:tcW w:type="dxa" w:w="2880"/>
          </w:tcPr>
          <w:p>
            <w:pPr>
              <w:jc w:val="center"/>
            </w:pPr>
            <w:r>
              <w:t>JLR ~175 k EV/yr capacity</w:t>
            </w:r>
          </w:p>
        </w:tc>
      </w:tr>
      <w:tr>
        <w:tc>
          <w:tcPr>
            <w:tcW w:type="dxa" w:w="2880"/>
          </w:tcPr>
          <w:p>
            <w:pPr>
              <w:jc w:val="center"/>
            </w:pPr>
            <w:r>
              <w:t>Battery price elasticity</w:t>
            </w:r>
          </w:p>
        </w:tc>
        <w:tc>
          <w:tcPr>
            <w:tcW w:type="dxa" w:w="2880"/>
          </w:tcPr>
          <w:p>
            <w:pPr>
              <w:jc w:val="center"/>
            </w:pPr>
            <w:r>
              <w:t>BNEF / IEA literature</w:t>
            </w:r>
          </w:p>
        </w:tc>
        <w:tc>
          <w:tcPr>
            <w:tcW w:type="dxa" w:w="2880"/>
          </w:tcPr>
          <w:p>
            <w:pPr>
              <w:jc w:val="center"/>
            </w:pPr>
            <w:r>
              <w:t>−0.30 (demand vs price)</w:t>
            </w:r>
          </w:p>
        </w:tc>
      </w:tr>
      <w:tr>
        <w:tc>
          <w:tcPr>
            <w:tcW w:type="dxa" w:w="2880"/>
          </w:tcPr>
          <w:p>
            <w:pPr>
              <w:jc w:val="center"/>
            </w:pPr>
            <w:r>
              <w:t>Bullwhip factor</w:t>
            </w:r>
          </w:p>
        </w:tc>
        <w:tc>
          <w:tcPr>
            <w:tcW w:type="dxa" w:w="2880"/>
          </w:tcPr>
          <w:p>
            <w:pPr>
              <w:jc w:val="center"/>
            </w:pPr>
            <w:r>
              <w:t>Lee et al. (1997) + industry calibration</w:t>
            </w:r>
          </w:p>
        </w:tc>
        <w:tc>
          <w:tcPr>
            <w:tcW w:type="dxa" w:w="2880"/>
          </w:tcPr>
          <w:p>
            <w:pPr>
              <w:jc w:val="center"/>
            </w:pPr>
            <w:r>
              <w:t>1.25 (Tier-1 order amplification)</w:t>
            </w:r>
          </w:p>
        </w:tc>
      </w:tr>
      <w:tr>
        <w:tc>
          <w:tcPr>
            <w:tcW w:type="dxa" w:w="2880"/>
          </w:tcPr>
          <w:p>
            <w:pPr>
              <w:jc w:val="center"/>
            </w:pPr>
            <w:r>
              <w:t>Cell capacity investment lag</w:t>
            </w:r>
          </w:p>
        </w:tc>
        <w:tc>
          <w:tcPr>
            <w:tcW w:type="dxa" w:w="2880"/>
          </w:tcPr>
          <w:p>
            <w:pPr>
              <w:jc w:val="center"/>
            </w:pPr>
            <w:r>
              <w:t>IEA / BNEF gigafactory data</w:t>
            </w:r>
          </w:p>
        </w:tc>
        <w:tc>
          <w:tcPr>
            <w:tcW w:type="dxa" w:w="2880"/>
          </w:tcPr>
          <w:p>
            <w:pPr>
              <w:jc w:val="center"/>
            </w:pPr>
            <w:r>
              <w:t>26-wk planning + 104-wk build</w:t>
            </w:r>
          </w:p>
        </w:tc>
      </w:tr>
    </w:tbl>
    <w:p/>
    <w:p>
      <w:r>
        <w:br w:type="page"/>
      </w:r>
    </w:p>
    <w:p>
      <w:pPr>
        <w:pStyle w:val="Heading1"/>
      </w:pPr>
      <w:r>
        <w:t>7. Model Pseudo-Code</w:t>
      </w:r>
    </w:p>
    <w:p>
      <w:r>
        <w:rPr>
          <w:b w:val="0"/>
          <w:i w:val="0"/>
        </w:rPr>
        <w:t>The following pseudo-code describes the complete per-week execution sequence of the hybrid model. SD feedback-loop sub-steps are indented within Step 9.</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ALGORITHM: EV Supply Chain ABM+SD Hybrid Model</w:t>
      </w:r>
    </w:p>
    <w:p>
      <w:pPr>
        <w:spacing w:after="0" w:before="0"/>
        <w:ind w:left="567"/>
      </w:pPr>
      <w:r>
        <w:rPr>
          <w:rFonts w:ascii="Courier New" w:hAnsi="Courier New"/>
          <w:sz w:val="17"/>
        </w:rPr>
        <w:t>================================================</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INITIALISE:</w:t>
      </w:r>
    </w:p>
    <w:p>
      <w:pPr>
        <w:spacing w:after="0" w:before="0"/>
        <w:ind w:left="567"/>
      </w:pPr>
      <w:r>
        <w:rPr>
          <w:rFonts w:ascii="Courier New" w:hAnsi="Courier New"/>
          <w:sz w:val="17"/>
        </w:rPr>
        <w:t xml:space="preserve">  parameters  &lt;- load config (MINERALS, CELL_MAKERS, TIER1, OEMS, MARKETS)</w:t>
      </w:r>
    </w:p>
    <w:p>
      <w:pPr>
        <w:spacing w:after="0" w:before="0"/>
        <w:ind w:left="567"/>
      </w:pPr>
      <w:r>
        <w:rPr>
          <w:rFonts w:ascii="Courier New" w:hAnsi="Courier New"/>
          <w:sz w:val="17"/>
        </w:rPr>
        <w:t xml:space="preserve">  sd          &lt;- SDModel(seed)            // System Dynamics layer</w:t>
      </w:r>
    </w:p>
    <w:p>
      <w:pPr>
        <w:spacing w:after="0" w:before="0"/>
        <w:ind w:left="567"/>
      </w:pPr>
      <w:r>
        <w:rPr>
          <w:rFonts w:ascii="Courier New" w:hAnsi="Courier New"/>
          <w:sz w:val="17"/>
        </w:rPr>
        <w:t xml:space="preserve">  mineral_agents  &lt;- build_mineral_agents(parameters)   // 14 agents</w:t>
      </w:r>
    </w:p>
    <w:p>
      <w:pPr>
        <w:spacing w:after="0" w:before="0"/>
        <w:ind w:left="567"/>
      </w:pPr>
      <w:r>
        <w:rPr>
          <w:rFonts w:ascii="Courier New" w:hAnsi="Courier New"/>
          <w:sz w:val="17"/>
        </w:rPr>
        <w:t xml:space="preserve">  cell_agents     &lt;- build_cell_agents(parameters)      //  9 agents</w:t>
      </w:r>
    </w:p>
    <w:p>
      <w:pPr>
        <w:spacing w:after="0" w:before="0"/>
        <w:ind w:left="567"/>
      </w:pPr>
      <w:r>
        <w:rPr>
          <w:rFonts w:ascii="Courier New" w:hAnsi="Courier New"/>
          <w:sz w:val="17"/>
        </w:rPr>
        <w:t xml:space="preserve">  tier1_agents    &lt;- build_tier1_agents(parameters)     //  4 agents</w:t>
      </w:r>
    </w:p>
    <w:p>
      <w:pPr>
        <w:spacing w:after="0" w:before="0"/>
        <w:ind w:left="567"/>
      </w:pPr>
      <w:r>
        <w:rPr>
          <w:rFonts w:ascii="Courier New" w:hAnsi="Courier New"/>
          <w:sz w:val="17"/>
        </w:rPr>
        <w:t xml:space="preserve">  oem_agents      &lt;- build_oem_agents(focus_region)     //  1–7 agents</w:t>
      </w:r>
    </w:p>
    <w:p>
      <w:pPr>
        <w:spacing w:after="0" w:before="0"/>
        <w:ind w:left="567"/>
      </w:pPr>
      <w:r>
        <w:rPr>
          <w:rFonts w:ascii="Courier New" w:hAnsi="Courier New"/>
          <w:sz w:val="17"/>
        </w:rPr>
        <w:t xml:space="preserve">  market_agents   &lt;- build_market_agents(focus_region)  //  1–6 agents</w:t>
      </w:r>
    </w:p>
    <w:p>
      <w:pPr>
        <w:spacing w:after="0" w:before="0"/>
        <w:ind w:left="567"/>
      </w:pPr>
      <w:r>
        <w:rPr>
          <w:rFonts w:ascii="Courier New" w:hAnsi="Courier New"/>
          <w:sz w:val="17"/>
        </w:rPr>
        <w:t xml:space="preserve">  apply_policy_packages(model, scenario.policies)</w:t>
      </w:r>
    </w:p>
    <w:p>
      <w:pPr>
        <w:spacing w:after="0" w:before="0"/>
        <w:ind w:left="567"/>
      </w:pPr>
      <w:r>
        <w:rPr>
          <w:rFonts w:ascii="Courier New" w:hAnsi="Courier New"/>
          <w:sz w:val="17"/>
        </w:rPr>
        <w:t xml:space="preserve">  load_shock_schedule(scenario.shocks)</w:t>
      </w:r>
    </w:p>
    <w:p>
      <w:pPr>
        <w:spacing w:after="0" w:before="0"/>
        <w:ind w:left="567"/>
      </w:pPr>
      <w:r>
        <w:rPr>
          <w:rFonts w:ascii="Courier New" w:hAnsi="Courier New"/>
          <w:sz w:val="17"/>
        </w:rPr>
        <w:t xml:space="preserve">  // Scale SD mineral transit pipeline to focus-region demand share</w:t>
      </w:r>
    </w:p>
    <w:p>
      <w:pPr>
        <w:spacing w:after="0" w:before="0"/>
        <w:ind w:left="567"/>
      </w:pPr>
      <w:r>
        <w:rPr>
          <w:rFonts w:ascii="Courier New" w:hAnsi="Courier New"/>
          <w:sz w:val="17"/>
        </w:rPr>
        <w:t xml:space="preserve">  FOR each mineral IN AGENT_MINERALS:</w:t>
      </w:r>
    </w:p>
    <w:p>
      <w:pPr>
        <w:spacing w:after="0" w:before="0"/>
        <w:ind w:left="567"/>
      </w:pPr>
      <w:r>
        <w:rPr>
          <w:rFonts w:ascii="Courier New" w:hAnsi="Courier New"/>
          <w:sz w:val="17"/>
        </w:rPr>
        <w:t xml:space="preserve">    sd.transit_pipeline[mineral] &lt;- [market_scope_fraction] * transport_weeks</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MAIN LOOP (week = 0 to n_weeks - 1):</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1: Apply scheduled shocks</w:t>
      </w:r>
    </w:p>
    <w:p>
      <w:pPr>
        <w:spacing w:after="0" w:before="0"/>
        <w:ind w:left="567"/>
      </w:pPr>
      <w:r>
        <w:rPr>
          <w:rFonts w:ascii="Courier New" w:hAnsi="Courier New"/>
          <w:sz w:val="17"/>
        </w:rPr>
        <w:t xml:space="preserve">  FOR each shock_event IN shock_schedule[week]:</w:t>
      </w:r>
    </w:p>
    <w:p>
      <w:pPr>
        <w:spacing w:after="0" w:before="0"/>
        <w:ind w:left="567"/>
      </w:pPr>
      <w:r>
        <w:rPr>
          <w:rFonts w:ascii="Courier New" w:hAnsi="Courier New"/>
          <w:sz w:val="17"/>
        </w:rPr>
        <w:t xml:space="preserve">    agent &lt;- find_agent(shock_event.target)</w:t>
      </w:r>
    </w:p>
    <w:p>
      <w:pPr>
        <w:spacing w:after="0" w:before="0"/>
        <w:ind w:left="567"/>
      </w:pPr>
      <w:r>
        <w:rPr>
          <w:rFonts w:ascii="Courier New" w:hAnsi="Courier New"/>
          <w:sz w:val="17"/>
        </w:rPr>
        <w:t xml:space="preserve">    IF week &lt; shock_event.end_week:</w:t>
      </w:r>
    </w:p>
    <w:p>
      <w:pPr>
        <w:spacing w:after="0" w:before="0"/>
        <w:ind w:left="567"/>
      </w:pPr>
      <w:r>
        <w:rPr>
          <w:rFonts w:ascii="Courier New" w:hAnsi="Courier New"/>
          <w:sz w:val="17"/>
        </w:rPr>
        <w:t xml:space="preserve">      agent.apply_shock(severity * (1 - policy_shock_mitigation[target]))</w:t>
      </w:r>
    </w:p>
    <w:p>
      <w:pPr>
        <w:spacing w:after="0" w:before="0"/>
        <w:ind w:left="567"/>
      </w:pPr>
      <w:r>
        <w:rPr>
          <w:rFonts w:ascii="Courier New" w:hAnsi="Courier New"/>
          <w:sz w:val="17"/>
        </w:rPr>
        <w:t xml:space="preserve">    ELSE:</w:t>
      </w:r>
    </w:p>
    <w:p>
      <w:pPr>
        <w:spacing w:after="0" w:before="0"/>
        <w:ind w:left="567"/>
      </w:pPr>
      <w:r>
        <w:rPr>
          <w:rFonts w:ascii="Courier New" w:hAnsi="Courier New"/>
          <w:sz w:val="17"/>
        </w:rPr>
        <w:t xml:space="preserve">      agent.resolve_shock()</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2: SD -&gt; Agents (input availability signals)</w:t>
      </w:r>
    </w:p>
    <w:p>
      <w:pPr>
        <w:spacing w:after="0" w:before="0"/>
        <w:ind w:left="567"/>
      </w:pPr>
      <w:r>
        <w:rPr>
          <w:rFonts w:ascii="Courier New" w:hAnsi="Courier New"/>
          <w:sz w:val="17"/>
        </w:rPr>
        <w:t xml:space="preserve">  sd.compute_input_fractions()          // for each mineral/component:</w:t>
      </w:r>
    </w:p>
    <w:p>
      <w:pPr>
        <w:spacing w:after="0" w:before="0"/>
        <w:ind w:left="567"/>
      </w:pPr>
      <w:r>
        <w:rPr>
          <w:rFonts w:ascii="Courier New" w:hAnsi="Courier New"/>
          <w:sz w:val="17"/>
        </w:rPr>
        <w:t xml:space="preserve">                                        //   fraction = f(stock, target, policy)</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3: Tier-1 — Mineral supplier agents step</w:t>
      </w:r>
    </w:p>
    <w:p>
      <w:pPr>
        <w:spacing w:after="0" w:before="0"/>
        <w:ind w:left="567"/>
      </w:pPr>
      <w:r>
        <w:rPr>
          <w:rFonts w:ascii="Courier New" w:hAnsi="Courier New"/>
          <w:sz w:val="17"/>
        </w:rPr>
        <w:t xml:space="preserve">  FOR each agent IN mineral_agents:</w:t>
      </w:r>
    </w:p>
    <w:p>
      <w:pPr>
        <w:spacing w:after="0" w:before="0"/>
        <w:ind w:left="567"/>
      </w:pPr>
      <w:r>
        <w:rPr>
          <w:rFonts w:ascii="Courier New" w:hAnsi="Courier New"/>
          <w:sz w:val="17"/>
        </w:rPr>
        <w:t xml:space="preserve">    agent.step()</w:t>
      </w:r>
    </w:p>
    <w:p>
      <w:pPr>
        <w:spacing w:after="0" w:before="0"/>
        <w:ind w:left="567"/>
      </w:pPr>
      <w:r>
        <w:rPr>
          <w:rFonts w:ascii="Courier New" w:hAnsi="Courier New"/>
          <w:sz w:val="17"/>
        </w:rPr>
        <w:t xml:space="preserve">    // output_fraction &lt;- shock_multiplier * recovery_rate</w:t>
      </w:r>
    </w:p>
    <w:p>
      <w:pPr>
        <w:spacing w:after="0" w:before="0"/>
        <w:ind w:left="567"/>
      </w:pPr>
      <w:r>
        <w:rPr>
          <w:rFonts w:ascii="Courier New" w:hAnsi="Courier New"/>
          <w:sz w:val="17"/>
        </w:rPr>
        <w:t xml:space="preserve">    // weekly_supply_contribution &lt;- global_share * ev_share * output_fraction</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4: Tier-2 — Cell manufacturer agents step</w:t>
      </w:r>
    </w:p>
    <w:p>
      <w:pPr>
        <w:spacing w:after="0" w:before="0"/>
        <w:ind w:left="567"/>
      </w:pPr>
      <w:r>
        <w:rPr>
          <w:rFonts w:ascii="Courier New" w:hAnsi="Courier New"/>
          <w:sz w:val="17"/>
        </w:rPr>
        <w:t xml:space="preserve">  FOR each agent IN cell_agents:</w:t>
      </w:r>
    </w:p>
    <w:p>
      <w:pPr>
        <w:spacing w:after="0" w:before="0"/>
        <w:ind w:left="567"/>
      </w:pPr>
      <w:r>
        <w:rPr>
          <w:rFonts w:ascii="Courier New" w:hAnsi="Courier New"/>
          <w:sz w:val="17"/>
        </w:rPr>
        <w:t xml:space="preserve">    agent.step()</w:t>
      </w:r>
    </w:p>
    <w:p>
      <w:pPr>
        <w:spacing w:after="0" w:before="0"/>
        <w:ind w:left="567"/>
      </w:pPr>
      <w:r>
        <w:rPr>
          <w:rFonts w:ascii="Courier New" w:hAnsi="Courier New"/>
          <w:sz w:val="17"/>
        </w:rPr>
        <w:t xml:space="preserve">    // Leontief constraint: min(Li_frac, Co_frac, Gr_frac) * capacity</w:t>
      </w:r>
    </w:p>
    <w:p>
      <w:pPr>
        <w:spacing w:after="0" w:before="0"/>
        <w:ind w:left="567"/>
      </w:pPr>
      <w:r>
        <w:rPr>
          <w:rFonts w:ascii="Courier New" w:hAnsi="Courier New"/>
          <w:sz w:val="17"/>
        </w:rPr>
        <w:t xml:space="preserve">    // Inventory policy: order-up-to with FIFO pipeline</w:t>
      </w:r>
    </w:p>
    <w:p>
      <w:pPr>
        <w:spacing w:after="0" w:before="0"/>
        <w:ind w:left="567"/>
      </w:pPr>
      <w:r>
        <w:rPr>
          <w:rFonts w:ascii="Courier New" w:hAnsi="Courier New"/>
          <w:sz w:val="17"/>
        </w:rPr>
        <w:t xml:space="preserve">    // LFP fraction: f(cobalt_price, lfp_target_lagged)</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5: Tier-3 — Tier-1 supplier agents step</w:t>
      </w:r>
    </w:p>
    <w:p>
      <w:pPr>
        <w:spacing w:after="0" w:before="0"/>
        <w:ind w:left="567"/>
      </w:pPr>
      <w:r>
        <w:rPr>
          <w:rFonts w:ascii="Courier New" w:hAnsi="Courier New"/>
          <w:sz w:val="17"/>
        </w:rPr>
        <w:t xml:space="preserve">  FOR each agent IN tier1_agents:</w:t>
      </w:r>
    </w:p>
    <w:p>
      <w:pPr>
        <w:spacing w:after="0" w:before="0"/>
        <w:ind w:left="567"/>
      </w:pPr>
      <w:r>
        <w:rPr>
          <w:rFonts w:ascii="Courier New" w:hAnsi="Courier New"/>
          <w:sz w:val="17"/>
        </w:rPr>
        <w:t xml:space="preserve">    agent.step()</w:t>
      </w:r>
    </w:p>
    <w:p>
      <w:pPr>
        <w:spacing w:after="0" w:before="0"/>
        <w:ind w:left="567"/>
      </w:pPr>
      <w:r>
        <w:rPr>
          <w:rFonts w:ascii="Courier New" w:hAnsi="Courier New"/>
          <w:sz w:val="17"/>
        </w:rPr>
        <w:t xml:space="preserve">    // input_constraint: (1-dep) + dep * input_fraction[key_input]</w:t>
      </w:r>
    </w:p>
    <w:p>
      <w:pPr>
        <w:spacing w:after="0" w:before="0"/>
        <w:ind w:left="567"/>
      </w:pPr>
      <w:r>
        <w:rPr>
          <w:rFonts w:ascii="Courier New" w:hAnsi="Courier New"/>
          <w:sz w:val="17"/>
        </w:rPr>
        <w:t xml:space="preserve">    // output_k &lt;- min(capacity * constraint * shock_mult, inventory, demand * 1.1)</w:t>
      </w:r>
    </w:p>
    <w:p>
      <w:pPr>
        <w:spacing w:after="0" w:before="0"/>
        <w:ind w:left="567"/>
      </w:pPr>
      <w:r>
        <w:rPr>
          <w:rFonts w:ascii="Courier New" w:hAnsi="Courier New"/>
          <w:sz w:val="17"/>
        </w:rPr>
        <w:t xml:space="preserve">    // order: order-up-to + bullwhip * shortfall; dual-source if inv &lt; 20% target</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6: Tier-4 — OEM agents step</w:t>
      </w:r>
    </w:p>
    <w:p>
      <w:pPr>
        <w:spacing w:after="0" w:before="0"/>
        <w:ind w:left="567"/>
      </w:pPr>
      <w:r>
        <w:rPr>
          <w:rFonts w:ascii="Courier New" w:hAnsi="Courier New"/>
          <w:sz w:val="17"/>
        </w:rPr>
        <w:t xml:space="preserve">  FOR each agent IN oem_agents:</w:t>
      </w:r>
    </w:p>
    <w:p>
      <w:pPr>
        <w:spacing w:after="0" w:before="0"/>
        <w:ind w:left="567"/>
      </w:pPr>
      <w:r>
        <w:rPr>
          <w:rFonts w:ascii="Courier New" w:hAnsi="Courier New"/>
          <w:sz w:val="17"/>
        </w:rPr>
        <w:t xml:space="preserve">    agent.step()</w:t>
      </w:r>
    </w:p>
    <w:p>
      <w:pPr>
        <w:spacing w:after="0" w:before="0"/>
        <w:ind w:left="567"/>
      </w:pPr>
      <w:r>
        <w:rPr>
          <w:rFonts w:ascii="Courier New" w:hAnsi="Courier New"/>
          <w:sz w:val="17"/>
        </w:rPr>
        <w:t xml:space="preserve">    // Leontief: producible &lt;- min(pack_inv, inverter_inv, motor_inv, harness_inv)</w:t>
      </w:r>
    </w:p>
    <w:p>
      <w:pPr>
        <w:spacing w:after="0" w:before="0"/>
        <w:ind w:left="567"/>
      </w:pPr>
      <w:r>
        <w:rPr>
          <w:rFonts w:ascii="Courier New" w:hAnsi="Courier New"/>
          <w:sz w:val="17"/>
        </w:rPr>
        <w:t xml:space="preserve">    // production_k &lt;- archetype._compute_production_target(demand, producible)</w:t>
      </w:r>
    </w:p>
    <w:p>
      <w:pPr>
        <w:spacing w:after="0" w:before="0"/>
        <w:ind w:left="567"/>
      </w:pPr>
      <w:r>
        <w:rPr>
          <w:rFonts w:ascii="Courier New" w:hAnsi="Courier New"/>
          <w:sz w:val="17"/>
        </w:rPr>
        <w:t xml:space="preserve">    // backlog_k += max(0, demand - production_k)</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7: Market agents step</w:t>
      </w:r>
    </w:p>
    <w:p>
      <w:pPr>
        <w:spacing w:after="0" w:before="0"/>
        <w:ind w:left="567"/>
      </w:pPr>
      <w:r>
        <w:rPr>
          <w:rFonts w:ascii="Courier New" w:hAnsi="Courier New"/>
          <w:sz w:val="17"/>
        </w:rPr>
        <w:t xml:space="preserve">  FOR each agent IN market_agents:</w:t>
      </w:r>
    </w:p>
    <w:p>
      <w:pPr>
        <w:spacing w:after="0" w:before="0"/>
        <w:ind w:left="567"/>
      </w:pPr>
      <w:r>
        <w:rPr>
          <w:rFonts w:ascii="Courier New" w:hAnsi="Courier New"/>
          <w:sz w:val="17"/>
        </w:rPr>
        <w:t xml:space="preserve">    agent.step()</w:t>
      </w:r>
    </w:p>
    <w:p>
      <w:pPr>
        <w:spacing w:after="0" w:before="0"/>
        <w:ind w:left="567"/>
      </w:pPr>
      <w:r>
        <w:rPr>
          <w:rFonts w:ascii="Courier New" w:hAnsi="Courier New"/>
          <w:sz w:val="17"/>
        </w:rPr>
        <w:t xml:space="preserve">    // trend_demand *= (1 + weekly_growth_rate)</w:t>
      </w:r>
    </w:p>
    <w:p>
      <w:pPr>
        <w:spacing w:after="0" w:before="0"/>
        <w:ind w:left="567"/>
      </w:pPr>
      <w:r>
        <w:rPr>
          <w:rFonts w:ascii="Courier New" w:hAnsi="Courier New"/>
          <w:sz w:val="17"/>
        </w:rPr>
        <w:t xml:space="preserve">    // price_level &lt;- 1 + price_elasticity * (price_signal - 1)    [capped 0.5..1.2]</w:t>
      </w:r>
    </w:p>
    <w:p>
      <w:pPr>
        <w:spacing w:after="0" w:before="0"/>
        <w:ind w:left="567"/>
      </w:pPr>
      <w:r>
        <w:rPr>
          <w:rFonts w:ascii="Courier New" w:hAnsi="Courier New"/>
          <w:sz w:val="17"/>
        </w:rPr>
        <w:t xml:space="preserve">    // backlog_ratio &lt;- total_backlog / backlog_scale</w:t>
      </w:r>
    </w:p>
    <w:p>
      <w:pPr>
        <w:spacing w:after="0" w:before="0"/>
        <w:ind w:left="567"/>
      </w:pPr>
      <w:r>
        <w:rPr>
          <w:rFonts w:ascii="Courier New" w:hAnsi="Courier New"/>
          <w:sz w:val="17"/>
        </w:rPr>
        <w:t xml:space="preserve">    // weekly_demand_gwh &lt;- trend * price_level * availability_factor</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8: Collect ABM flows -&gt; feed to SD</w:t>
      </w:r>
    </w:p>
    <w:p>
      <w:pPr>
        <w:spacing w:after="0" w:before="0"/>
        <w:ind w:left="567"/>
      </w:pPr>
      <w:r>
        <w:rPr>
          <w:rFonts w:ascii="Courier New" w:hAnsi="Courier New"/>
          <w:sz w:val="17"/>
        </w:rPr>
        <w:t xml:space="preserve">  flows &lt;- aggregate_flows(mineral_agents, cell_agents, tier1_agents,</w:t>
      </w:r>
    </w:p>
    <w:p>
      <w:pPr>
        <w:spacing w:after="0" w:before="0"/>
        <w:ind w:left="567"/>
      </w:pPr>
      <w:r>
        <w:rPr>
          <w:rFonts w:ascii="Courier New" w:hAnsi="Courier New"/>
          <w:sz w:val="17"/>
        </w:rPr>
        <w:t xml:space="preserve">                           oem_agents, market_agents)</w:t>
      </w:r>
    </w:p>
    <w:p>
      <w:pPr>
        <w:spacing w:after="0" w:before="0"/>
        <w:ind w:left="567"/>
      </w:pPr>
      <w:r>
        <w:rPr>
          <w:rFonts w:ascii="Courier New" w:hAnsi="Courier New"/>
          <w:sz w:val="17"/>
        </w:rPr>
        <w:t xml:space="preserve">  // mineral_in[m]  = SUM(agent.weekly_supply_contribution) * market_scope_fraction</w:t>
      </w:r>
    </w:p>
    <w:p>
      <w:pPr>
        <w:spacing w:after="0" w:before="0"/>
        <w:ind w:left="567"/>
      </w:pPr>
      <w:r>
        <w:rPr>
          <w:rFonts w:ascii="Courier New" w:hAnsi="Courier New"/>
          <w:sz w:val="17"/>
        </w:rPr>
        <w:t xml:space="preserve">  // mineral_out[m] = f(cell_production, lfp_share, ree_dep, sic_dep)</w:t>
      </w:r>
    </w:p>
    <w:p>
      <w:pPr>
        <w:spacing w:after="0" w:before="0"/>
        <w:ind w:left="567"/>
      </w:pPr>
      <w:r>
        <w:rPr>
          <w:rFonts w:ascii="Courier New" w:hAnsi="Courier New"/>
          <w:sz w:val="17"/>
        </w:rPr>
        <w:t xml:space="preserve">  // cells_in       = SUM(cell_agent.output_gwh)</w:t>
      </w:r>
    </w:p>
    <w:p>
      <w:pPr>
        <w:spacing w:after="0" w:before="0"/>
        <w:ind w:left="567"/>
      </w:pPr>
      <w:r>
        <w:rPr>
          <w:rFonts w:ascii="Courier New" w:hAnsi="Courier New"/>
          <w:sz w:val="17"/>
        </w:rPr>
        <w:t xml:space="preserve">  // components_in  = tier1_agent.output_k  (per component)</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9: SD update</w:t>
      </w:r>
    </w:p>
    <w:p>
      <w:pPr>
        <w:spacing w:after="0" w:before="0"/>
        <w:ind w:left="567"/>
      </w:pPr>
      <w:r>
        <w:rPr>
          <w:rFonts w:ascii="Courier New" w:hAnsi="Courier New"/>
          <w:sz w:val="17"/>
        </w:rPr>
        <w:t xml:space="preserve">  sd.update(flows)</w:t>
      </w:r>
    </w:p>
    <w:p>
      <w:pPr>
        <w:spacing w:after="0" w:before="0"/>
        <w:ind w:left="567"/>
      </w:pPr>
      <w:r>
        <w:rPr>
          <w:rFonts w:ascii="Courier New" w:hAnsi="Courier New"/>
          <w:sz w:val="17"/>
        </w:rPr>
        <w:t xml:space="preserve">  //  9a. policy.tick() -&gt; advance ramp counters</w:t>
      </w:r>
    </w:p>
    <w:p>
      <w:pPr>
        <w:spacing w:after="0" w:before="0"/>
        <w:ind w:left="567"/>
      </w:pPr>
      <w:r>
        <w:rPr>
          <w:rFonts w:ascii="Courier New" w:hAnsi="Courier New"/>
          <w:sz w:val="17"/>
        </w:rPr>
        <w:t xml:space="preserve">  //  9b. FOR each mineral: FIFO_transit.push(inflow * noise); stock += arrived - outflow</w:t>
      </w:r>
    </w:p>
    <w:p>
      <w:pPr>
        <w:spacing w:after="0" w:before="0"/>
        <w:ind w:left="567"/>
      </w:pPr>
      <w:r>
        <w:rPr>
          <w:rFonts w:ascii="Courier New" w:hAnsi="Courier New"/>
          <w:sz w:val="17"/>
        </w:rPr>
        <w:t xml:space="preserve">  //  9c. Update component stocks: stock += inflow - outflow</w:t>
      </w:r>
    </w:p>
    <w:p>
      <w:pPr>
        <w:spacing w:after="0" w:before="0"/>
        <w:ind w:left="567"/>
      </w:pPr>
      <w:r>
        <w:rPr>
          <w:rFonts w:ascii="Courier New" w:hAnsi="Courier New"/>
          <w:sz w:val="17"/>
        </w:rPr>
        <w:t xml:space="preserve">  //  9d. Cap stocks at 4 * target (policy-adjusted)</w:t>
      </w:r>
    </w:p>
    <w:p>
      <w:pPr>
        <w:spacing w:after="0" w:before="0"/>
        <w:ind w:left="567"/>
      </w:pPr>
      <w:r>
        <w:rPr>
          <w:rFonts w:ascii="Courier New" w:hAnsi="Courier New"/>
          <w:sz w:val="17"/>
        </w:rPr>
        <w:t xml:space="preserve">  //  9e. Measurement lag: measured_stock += (1/tau) * (stock - measured_stock)</w:t>
      </w:r>
    </w:p>
    <w:p>
      <w:pPr>
        <w:spacing w:after="0" w:before="0"/>
        <w:ind w:left="567"/>
      </w:pPr>
      <w:r>
        <w:rPr>
          <w:rFonts w:ascii="Courier New" w:hAnsi="Courier New"/>
          <w:sz w:val="17"/>
        </w:rPr>
        <w:t xml:space="preserve">  //  9f. F1 Price formation (softplus scarcity signal):</w:t>
      </w:r>
    </w:p>
    <w:p>
      <w:pPr>
        <w:spacing w:after="0" w:before="0"/>
        <w:ind w:left="567"/>
      </w:pPr>
      <w:r>
        <w:rPr>
          <w:rFonts w:ascii="Courier New" w:hAnsi="Courier New"/>
          <w:sz w:val="17"/>
        </w:rPr>
        <w:t xml:space="preserve">  //       deviation = (measured_stock - target) / target</w:t>
      </w:r>
    </w:p>
    <w:p>
      <w:pPr>
        <w:spacing w:after="0" w:before="0"/>
        <w:ind w:left="567"/>
      </w:pPr>
      <w:r>
        <w:rPr>
          <w:rFonts w:ascii="Courier New" w:hAnsi="Courier New"/>
          <w:sz w:val="17"/>
        </w:rPr>
        <w:t xml:space="preserve">  //       adj_speed = base_speed * (1.5 if recovering else 1.0) * policy_adj</w:t>
      </w:r>
    </w:p>
    <w:p>
      <w:pPr>
        <w:spacing w:after="0" w:before="0"/>
        <w:ind w:left="567"/>
      </w:pPr>
      <w:r>
        <w:rPr>
          <w:rFonts w:ascii="Courier New" w:hAnsi="Courier New"/>
          <w:sz w:val="17"/>
        </w:rPr>
        <w:t xml:space="preserve">  //       price[m] *= (1 - adj_speed * deviation)   [bounded PRICE_FLOOR..PRICE_CEIL]</w:t>
      </w:r>
    </w:p>
    <w:p>
      <w:pPr>
        <w:spacing w:after="0" w:before="0"/>
        <w:ind w:left="567"/>
      </w:pPr>
      <w:r>
        <w:rPr>
          <w:rFonts w:ascii="Courier New" w:hAnsi="Courier New"/>
          <w:sz w:val="17"/>
        </w:rPr>
        <w:t xml:space="preserve">  //  9g. F2 Chemistry mix (LFP share):</w:t>
      </w:r>
    </w:p>
    <w:p>
      <w:pPr>
        <w:spacing w:after="0" w:before="0"/>
        <w:ind w:left="567"/>
      </w:pPr>
      <w:r>
        <w:rPr>
          <w:rFonts w:ascii="Courier New" w:hAnsi="Courier New"/>
          <w:sz w:val="17"/>
        </w:rPr>
        <w:t xml:space="preserve">  //       lfp_target = logistic(cobalt_price - threshold)</w:t>
      </w:r>
    </w:p>
    <w:p>
      <w:pPr>
        <w:spacing w:after="0" w:before="0"/>
        <w:ind w:left="567"/>
      </w:pPr>
      <w:r>
        <w:rPr>
          <w:rFonts w:ascii="Courier New" w:hAnsi="Courier New"/>
          <w:sz w:val="17"/>
        </w:rPr>
        <w:t xml:space="preserve">  //       lfp_share += (1.2 if lfp_share &lt; lfp_target else 0.8) * (lfp_target - lfp_share) / lag</w:t>
      </w:r>
    </w:p>
    <w:p>
      <w:pPr>
        <w:spacing w:after="0" w:before="0"/>
        <w:ind w:left="567"/>
      </w:pPr>
      <w:r>
        <w:rPr>
          <w:rFonts w:ascii="Courier New" w:hAnsi="Courier New"/>
          <w:sz w:val="17"/>
        </w:rPr>
        <w:t xml:space="preserve">  //  9h. F3 Price signal (composite battery price):</w:t>
      </w:r>
    </w:p>
    <w:p>
      <w:pPr>
        <w:spacing w:after="0" w:before="0"/>
        <w:ind w:left="567"/>
      </w:pPr>
      <w:r>
        <w:rPr>
          <w:rFonts w:ascii="Courier New" w:hAnsi="Courier New"/>
          <w:sz w:val="17"/>
        </w:rPr>
        <w:t xml:space="preserve">  //       price_signal = weighted_mean(mineral_prices, bom_weights) * component_price_factor</w:t>
      </w:r>
    </w:p>
    <w:p>
      <w:pPr>
        <w:spacing w:after="0" w:before="0"/>
        <w:ind w:left="567"/>
      </w:pPr>
      <w:r>
        <w:rPr>
          <w:rFonts w:ascii="Courier New" w:hAnsi="Courier New"/>
          <w:sz w:val="17"/>
        </w:rPr>
        <w:t xml:space="preserve">  //  9i. F4 Cell capacity investment (Erlang pipeline):</w:t>
      </w:r>
    </w:p>
    <w:p>
      <w:pPr>
        <w:spacing w:after="0" w:before="0"/>
        <w:ind w:left="567"/>
      </w:pPr>
      <w:r>
        <w:rPr>
          <w:rFonts w:ascii="Courier New" w:hAnsi="Courier New"/>
          <w:sz w:val="17"/>
        </w:rPr>
        <w:t xml:space="preserve">  //       IF cell_utilisation &gt; CAPEX_TRIGGER - policy_reduction:</w:t>
      </w:r>
    </w:p>
    <w:p>
      <w:pPr>
        <w:spacing w:after="0" w:before="0"/>
        <w:ind w:left="567"/>
      </w:pPr>
      <w:r>
        <w:rPr>
          <w:rFonts w:ascii="Courier New" w:hAnsi="Courier New"/>
          <w:sz w:val="17"/>
        </w:rPr>
        <w:t xml:space="preserve">  //         wip_stage[0] += investment; advance_pipeline()</w:t>
      </w:r>
    </w:p>
    <w:p>
      <w:pPr>
        <w:spacing w:after="0" w:before="0"/>
        <w:ind w:left="567"/>
      </w:pPr>
      <w:r>
        <w:rPr>
          <w:rFonts w:ascii="Courier New" w:hAnsi="Courier New"/>
          <w:sz w:val="17"/>
        </w:rPr>
        <w:t xml:space="preserve">  //         cell_capacity += wip_stage[2] * build_speed_mult</w:t>
      </w:r>
    </w:p>
    <w:p>
      <w:pPr>
        <w:spacing w:after="0" w:before="0"/>
        <w:ind w:left="567"/>
      </w:pPr>
      <w:r>
        <w:rPr>
          <w:rFonts w:ascii="Courier New" w:hAnsi="Courier New"/>
          <w:sz w:val="17"/>
        </w:rPr>
        <w:t xml:space="preserve">  //  9j. F5 Demand/backlog (SD reconciliation):</w:t>
      </w:r>
    </w:p>
    <w:p>
      <w:pPr>
        <w:spacing w:after="0" w:before="0"/>
        <w:ind w:left="567"/>
      </w:pPr>
      <w:r>
        <w:rPr>
          <w:rFonts w:ascii="Courier New" w:hAnsi="Courier New"/>
          <w:sz w:val="17"/>
        </w:rPr>
        <w:t xml:space="preserve">  //       ev_demand_gwh_yr *= (1 + demand_growth_wk + policy_boost)</w:t>
      </w:r>
    </w:p>
    <w:p>
      <w:pPr>
        <w:spacing w:after="0" w:before="0"/>
        <w:ind w:left="567"/>
      </w:pPr>
      <w:r>
        <w:rPr>
          <w:rFonts w:ascii="Courier New" w:hAnsi="Courier New"/>
          <w:sz w:val="17"/>
        </w:rPr>
        <w:t xml:space="preserve">  //       backlog_clearance = 0.5 + policy_clearance_boost</w:t>
      </w:r>
    </w:p>
    <w:p>
      <w:pPr>
        <w:spacing w:after="0" w:before="0"/>
        <w:ind w:left="567"/>
      </w:pPr>
      <w:r>
        <w:rPr>
          <w:rFonts w:ascii="Courier New" w:hAnsi="Courier New"/>
          <w:sz w:val="17"/>
        </w:rPr>
        <w:t xml:space="preserve">  //       oem_backlog_k = max(0, oem_backlog_k + new_shortfall - clearance)</w:t>
      </w:r>
    </w:p>
    <w:p>
      <w:pPr>
        <w:spacing w:after="0" w:before="0"/>
        <w:ind w:left="567"/>
      </w:pPr>
      <w:r>
        <w:rPr>
          <w:rFonts w:ascii="Courier New" w:hAnsi="Courier New"/>
          <w:sz w:val="17"/>
        </w:rPr>
        <w:t xml:space="preserve">  //  9k. Bullwhip: bullwhip_index = EWMA(order_rate / 4*vehicle_demand, smooth * mult)</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 xml:space="preserve">  // Step 10: Record metrics</w:t>
      </w:r>
    </w:p>
    <w:p>
      <w:pPr>
        <w:spacing w:after="0" w:before="0"/>
        <w:ind w:left="567"/>
      </w:pPr>
      <w:r>
        <w:rPr>
          <w:rFonts w:ascii="Courier New" w:hAnsi="Courier New"/>
          <w:sz w:val="17"/>
        </w:rPr>
        <w:t xml:space="preserve">  sd.record()</w:t>
      </w:r>
    </w:p>
    <w:p>
      <w:pPr>
        <w:spacing w:after="0" w:before="0"/>
        <w:ind w:left="567"/>
      </w:pPr>
      <w:r>
        <w:rPr>
          <w:rFonts w:ascii="Courier New" w:hAnsi="Courier New"/>
          <w:sz w:val="17"/>
        </w:rPr>
        <w:t xml:space="preserve">  record_week_metrics(week, agents, sd, flows)</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END LOOP</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RETURN get_results()  // DataFrame of 260-week time series</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w:t>
      </w:r>
    </w:p>
    <w:p>
      <w:pPr>
        <w:spacing w:after="0" w:before="0"/>
        <w:ind w:left="567"/>
      </w:pPr>
      <w:r>
        <w:rPr>
          <w:rFonts w:ascii="Courier New" w:hAnsi="Courier New"/>
          <w:sz w:val="17"/>
        </w:rPr>
        <w:t>ARCHETYPE DECISION HOOKS (overridden by subclasses):</w:t>
      </w:r>
    </w:p>
    <w:p>
      <w:pPr>
        <w:spacing w:after="0" w:before="0"/>
        <w:ind w:left="567"/>
      </w:pPr>
      <w:r>
        <w:rPr>
          <w:rFonts w:ascii="Courier New" w:hAnsi="Courier New"/>
          <w:sz w:val="17"/>
        </w:rPr>
        <w:t xml:space="preserve">  _compute_output_fraction(input_fracs, shock_mult)  // MineralSupplierAgent</w:t>
      </w:r>
    </w:p>
    <w:p>
      <w:pPr>
        <w:spacing w:after="0" w:before="0"/>
        <w:ind w:left="567"/>
      </w:pPr>
      <w:r>
        <w:rPr>
          <w:rFonts w:ascii="Courier New" w:hAnsi="Courier New"/>
          <w:sz w:val="17"/>
        </w:rPr>
        <w:t xml:space="preserve">  _desired_production(demand, inputs)                 // CellManufacturerAgent</w:t>
      </w:r>
    </w:p>
    <w:p>
      <w:pPr>
        <w:spacing w:after="0" w:before="0"/>
        <w:ind w:left="567"/>
      </w:pPr>
      <w:r>
        <w:rPr>
          <w:rFonts w:ascii="Courier New" w:hAnsi="Courier New"/>
          <w:sz w:val="17"/>
        </w:rPr>
        <w:t xml:space="preserve">  _order_quantity(demand, price_premium)              // Tier1SupplierAgent</w:t>
      </w:r>
    </w:p>
    <w:p>
      <w:pPr>
        <w:spacing w:after="0" w:before="0"/>
        <w:ind w:left="567"/>
      </w:pPr>
      <w:r>
        <w:rPr>
          <w:rFonts w:ascii="Courier New" w:hAnsi="Courier New"/>
          <w:sz w:val="17"/>
        </w:rPr>
        <w:t xml:space="preserve">  _compute_production_target(demand, producible, ...)  // OEMAgent</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SHOCK MECHANISM:</w:t>
      </w:r>
    </w:p>
    <w:p>
      <w:pPr>
        <w:spacing w:after="0" w:before="0"/>
        <w:ind w:left="567"/>
      </w:pPr>
      <w:r>
        <w:rPr>
          <w:rFonts w:ascii="Courier New" w:hAnsi="Courier New"/>
          <w:sz w:val="17"/>
        </w:rPr>
        <w:t xml:space="preserve">  effective_severity = raw_severity</w:t>
      </w:r>
    </w:p>
    <w:p>
      <w:pPr>
        <w:spacing w:after="0" w:before="0"/>
        <w:ind w:left="567"/>
      </w:pPr>
      <w:r>
        <w:rPr>
          <w:rFonts w:ascii="Courier New" w:hAnsi="Courier New"/>
          <w:sz w:val="17"/>
        </w:rPr>
        <w:t xml:space="preserve">                     * (1 - agent.policy_shock_absorption)</w:t>
      </w:r>
    </w:p>
    <w:p>
      <w:pPr>
        <w:spacing w:after="0" w:before="0"/>
        <w:ind w:left="567"/>
      </w:pPr>
      <w:r>
        <w:rPr>
          <w:rFonts w:ascii="Courier New" w:hAnsi="Courier New"/>
          <w:sz w:val="17"/>
        </w:rPr>
        <w:t xml:space="preserve">                     * (1 - model.policy_shock_mitigation[target])</w:t>
      </w:r>
    </w:p>
    <w:p>
      <w:pPr>
        <w:spacing w:after="0" w:before="0"/>
        <w:ind w:left="567"/>
      </w:pPr>
      <w:r>
        <w:rPr>
          <w:rFonts w:ascii="Courier New" w:hAnsi="Courier New"/>
          <w:sz w:val="17"/>
        </w:rPr>
        <w:t xml:space="preserve">  shock_multiplier   = max(0, 1 - effective_severity)</w:t>
      </w:r>
    </w:p>
    <w:p>
      <w:pPr>
        <w:spacing w:after="0" w:before="0"/>
        <w:ind w:left="567"/>
      </w:pPr>
      <w:r>
        <w:rPr>
          <w:rFonts w:ascii="Courier New" w:hAnsi="Courier New"/>
          <w:sz w:val="17"/>
        </w:rPr>
        <w:t xml:space="preserve">  recovery:  shock_multiplier += recovery_rate_wk  each step after resolve_shock()</w:t>
      </w:r>
    </w:p>
    <w:p>
      <w:pPr>
        <w:spacing w:after="0" w:before="0"/>
        <w:ind w:left="567"/>
      </w:pPr>
      <w:r>
        <w:rPr>
          <w:rFonts w:ascii="Courier New" w:hAnsi="Courier New"/>
          <w:sz w:val="17"/>
        </w:rPr>
        <w:t xml:space="preserve"> </w:t>
      </w:r>
    </w:p>
    <w:p>
      <w:pPr>
        <w:spacing w:after="0" w:before="0"/>
        <w:ind w:left="567"/>
      </w:pPr>
      <w:r>
        <w:rPr>
          <w:rFonts w:ascii="Courier New" w:hAnsi="Courier New"/>
          <w:sz w:val="17"/>
        </w:rPr>
        <w:t>SD POLICY RAMP:</w:t>
      </w:r>
    </w:p>
    <w:p>
      <w:pPr>
        <w:spacing w:after="0" w:before="0"/>
        <w:ind w:left="567"/>
      </w:pPr>
      <w:r>
        <w:rPr>
          <w:rFonts w:ascii="Courier New" w:hAnsi="Courier New"/>
          <w:sz w:val="17"/>
        </w:rPr>
        <w:t xml:space="preserve">  ramp(package) = min(1, max(0, (current_week - activation_week) / 13))</w:t>
      </w:r>
    </w:p>
    <w:p>
      <w:pPr>
        <w:spacing w:after="0" w:before="0"/>
        <w:ind w:left="567"/>
      </w:pPr>
      <w:r>
        <w:rPr>
          <w:rFonts w:ascii="Courier New" w:hAnsi="Courier New"/>
          <w:sz w:val="17"/>
        </w:rPr>
        <w:t xml:space="preserve">  All policy parameter deltas scaled by ramp() -&gt; no discontinuous state jumps</w:t>
      </w:r>
    </w:p>
    <w:p>
      <w:pPr>
        <w:spacing w:after="0" w:before="0"/>
        <w:ind w:left="567"/>
      </w:pPr>
      <w:r>
        <w:rPr>
          <w:rFonts w:ascii="Courier New" w:hAnsi="Courier New"/>
          <w:sz w:val="17"/>
        </w:rPr>
        <w:t xml:space="preserve"> </w:t>
      </w:r>
    </w:p>
    <w:p>
      <w:r>
        <w:br w:type="page"/>
      </w:r>
    </w:p>
    <w:p>
      <w:pPr>
        <w:pStyle w:val="Heading1"/>
      </w:pPr>
      <w:r>
        <w:t>8. Validation Approach</w:t>
      </w:r>
    </w:p>
    <w:p>
      <w:r>
        <w:rPr>
          <w:b w:val="0"/>
          <w:i w:val="0"/>
        </w:rPr>
        <w:t>The model is validated through a four-layer approach that progresses from unit-level component tests to full system behaviour validation:</w:t>
      </w:r>
    </w:p>
    <w:p>
      <w:r>
        <w:rPr>
          <w:b/>
          <w:i w:val="0"/>
        </w:rPr>
        <w:t>Layer 1: SD Unit Tests (test_sd_model.py, 32 checks)</w:t>
      </w:r>
    </w:p>
    <w:p>
      <w:r>
        <w:rPr>
          <w:b w:val="0"/>
          <w:i w:val="0"/>
        </w:rPr>
        <w:t>Tests the System Dynamics layer in isolation using controlled balanced_flows() inputs. Verifies: steady-state stability, cobalt price response to shock and recovery, LFP chemistry shift under cobalt scarcity, BUG-1 fix (cell capacity triggered by correct utilisation signal), demand/backlog accumulation, FIFO transit delay, measurement lag, bullwhip EWMA, state bounds, reproducibility.</w:t>
      </w:r>
    </w:p>
    <w:p/>
    <w:p>
      <w:r>
        <w:rPr>
          <w:b/>
          <w:i w:val="0"/>
        </w:rPr>
        <w:t>Layer 2: SD Policy Tests (test_sd_policy.py, 55 checks)</w:t>
      </w:r>
    </w:p>
    <w:p>
      <w:r>
        <w:rPr>
          <w:b w:val="0"/>
          <w:i w:val="0"/>
        </w:rPr>
        <w:t>Tests policy package activation, linear ramp mechanics, idempotency, late-activation behaviour, and each package's specific effect on SD parameters (capex trigger, build speed, demand growth, price recovery, mineral outflow reduction, bullwhip smoothing, backlog clearance).</w:t>
      </w:r>
    </w:p>
    <w:p/>
    <w:p>
      <w:r>
        <w:rPr>
          <w:b/>
          <w:i w:val="0"/>
        </w:rPr>
        <w:t>Layer 3: ABM and Hybrid Tests (test_abm.py, 84 checks)</w:t>
      </w:r>
    </w:p>
    <w:p>
      <w:r>
        <w:rPr>
          <w:b w:val="0"/>
          <w:i w:val="0"/>
        </w:rPr>
        <w:t>Tests all five agent classes in isolation using a FakeModel stub, and the full hybrid model across 15 test groups: construction, 52-week baseline run, reproducibility, individual agent behaviour, shock propagation cascade, all 10 scenario library scenarios, policy parameter modifications, DataFrame schema, archetype differences, ABM-SD coupling consistency, and shock mitigation.</w:t>
      </w:r>
    </w:p>
    <w:p/>
    <w:p>
      <w:r>
        <w:rPr>
          <w:b/>
          <w:i w:val="0"/>
        </w:rPr>
        <w:t>Layer 4: Full Model Validation (validate_model.py, 476 checks)</w:t>
      </w:r>
    </w:p>
    <w:p>
      <w:r>
        <w:rPr>
          <w:b w:val="0"/>
          <w:i w:val="0"/>
        </w:rPr>
        <w:t>Runs all 34 scenarios for 260 weeks and checks: static configuration integrity, numeric invariants, calibration targets, shock propagation chain at each tier, policy effectiveness (mean OEM production uplift, recovery acceleration, mineral stock injection), demand and capacity dynamics (growth rate, LFP bounds, bullwhip &gt; 1), SD–ABM consistency (stocks near target, no stockouts, OEM production grows), and real historical time-series MAE against ONS/SMMT UK production index.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Supply Chain ABM+SD Model — Methodology</dc:title>
  <dc:subject/>
  <dc:creator>EV Supply Chain Model — Auto-Generated</dc:creator>
  <cp:keywords/>
  <dc:description>generated by python-docx</dc:description>
  <cp:lastModifiedBy/>
  <cp:revision>1</cp:revision>
  <dcterms:created xsi:type="dcterms:W3CDTF">2013-12-23T23:15:00Z</dcterms:created>
  <dcterms:modified xsi:type="dcterms:W3CDTF">2013-12-23T23:15:00Z</dcterms:modified>
  <cp:category/>
</cp:coreProperties>
</file>