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 Supply Chain ABM+SD Model</w:t>
      </w:r>
    </w:p>
    <w:p>
      <w:pPr>
        <w:pStyle w:val="Heading1"/>
        <w:jc w:val="center"/>
      </w:pPr>
      <w:r>
        <w:t>Simulation Results Report</w:t>
      </w:r>
    </w:p>
    <w:p>
      <w:pPr>
        <w:jc w:val="center"/>
      </w:pPr>
      <w:r>
        <w:t>Focus region: UK  |  Simulation horizon: 260 weeks (5 years)  |  Seed: 42  |  Scenarios: 34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This report presents results from the UK-focused EV supply-chain Agent-Based Model (ABM) coupled with a System Dynamics (SD) layer. The model simulates five tiers of the EV supply chain — critical minerals, cell manufacturing, Tier-1 sub-systems, OEM assembly, and consumer markets — over a five-year horizon (260 weeks) starting from 2023 calibration anchors. Thirty-four scenarios are evaluated, covering a baseline, nine geopolitical and supply disruption shocks, and three policy packages applied to each shock.</w:t>
      </w:r>
    </w:p>
    <w:p/>
    <w:p>
      <w:r>
        <w:rPr>
          <w:b/>
          <w:i w:val="0"/>
        </w:rPr>
        <w:t>Key findings:</w:t>
      </w:r>
    </w:p>
    <w:p>
      <w:pPr>
        <w:pStyle w:val="ListBullet"/>
      </w:pPr>
      <w:r>
        <w:t>The UK OEM is highly resilient to global mineral supply shocks due to its small market share (~2.4% of global cell demand) and multi-tier safety stocks.</w:t>
      </w:r>
    </w:p>
    <w:p>
      <w:pPr>
        <w:pStyle w:val="ListBullet"/>
      </w:pPr>
      <w:r>
        <w:t>Only direct UK-specific disruptions — Ukraine harness plant closure and UK supply-chain friction — produce measurable production losses (0–35.6 k vehicles).</w:t>
      </w:r>
    </w:p>
    <w:p>
      <w:pPr>
        <w:pStyle w:val="ListBullet"/>
      </w:pPr>
      <w:r>
        <w:t>The Full Industrial Strategy package (DRIVE35) raises mean OEM production by 17% under UK friction, reduces cumulative loss from 35,583 to 2,444 vehicles, and shortens recovery from week 128 to week 106.</w:t>
      </w:r>
    </w:p>
    <w:p>
      <w:pPr>
        <w:pStyle w:val="ListBullet"/>
      </w:pPr>
      <w:r>
        <w:t>Mineral prices rise measurably under all supply shocks; the LFP chemistry substitution feedback loop partially buffers cobalt scarcity.</w:t>
      </w:r>
    </w:p>
    <w:p>
      <w:pPr>
        <w:pStyle w:val="ListBullet"/>
      </w:pPr>
      <w:r>
        <w:t>All 647 automated checks across four test suites pass with zero failures.</w:t>
      </w:r>
    </w:p>
    <w:p>
      <w:r>
        <w:br w:type="page"/>
      </w:r>
    </w:p>
    <w:p>
      <w:pPr>
        <w:pStyle w:val="Heading1"/>
      </w:pPr>
      <w:r>
        <w:t>2. Baseline Calibration</w:t>
      </w:r>
    </w:p>
    <w:p>
      <w:r>
        <w:rPr>
          <w:b w:val="0"/>
          <w:i w:val="0"/>
        </w:rPr>
        <w:t>The model is calibrated to 2023 published data from IEA, SMMT, USGS, and BloombergNEF. Table 1 compares week-0 model outputs against calibration targets.</w:t>
      </w:r>
    </w:p>
    <w:p>
      <w:r>
        <w:rPr>
          <w:b/>
          <w:i/>
        </w:rPr>
        <w:t>Table 1: Baseline calibration against 2023 anchors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Model (Week 0)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Calibration Target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UK OEM annual production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184.8 k veh/yr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175 k veh/yr (JLR 2023)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UK cell demand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20.1 GWh/yr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20.0 GWh/yr (IEA 2023)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Market demand (UK)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20.1 GWh/yr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20.0 GWh/yr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Initial battery price index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1.001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1.000 ± 0.05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LFP share (initial)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39.8%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~40% (BloombergNEF 2023)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Cobalt stock buffer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6.0 wk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 wk (USGS MCS target)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REE stock buffer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8.9 wk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 wk (strategic reserve)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SiC stock buffer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12.6 wk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 wk (26-wk lead time)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Bullwhip index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2.42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&gt; 1.0 (amplification expected)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PASS</w:t>
            </w:r>
          </w:p>
        </w:tc>
      </w:tr>
    </w:tbl>
    <w:p/>
    <w:p>
      <w:r>
        <w:rPr>
          <w:b/>
          <w:i w:val="0"/>
        </w:rPr>
        <w:t>Baseline dynamics over the five-year horizon:</w:t>
      </w:r>
    </w:p>
    <w:p>
      <w:pPr>
        <w:pStyle w:val="ListBullet"/>
      </w:pPr>
      <w:r>
        <w:t>OEM production grows from 3.55 k veh/wk (week 0) to 15.49 k veh/wk (week 260), consistent with the IEA 28%/yr demand growth trajectory.</w:t>
      </w:r>
    </w:p>
    <w:p>
      <w:pPr>
        <w:pStyle w:val="ListBullet"/>
      </w:pPr>
      <w:r>
        <w:t>Market demand grows at an implied 28.0%/yr, within the IEA 15–35% range.</w:t>
      </w:r>
    </w:p>
    <w:p>
      <w:pPr>
        <w:pStyle w:val="ListBullet"/>
      </w:pPr>
      <w:r>
        <w:t>LFP share rises from 39.8% to 51.4% as battery chemistry shifts driven by cobalt price signals and cost advantages.</w:t>
      </w:r>
    </w:p>
    <w:p>
      <w:pPr>
        <w:pStyle w:val="ListBullet"/>
      </w:pPr>
      <w:r>
        <w:t>The composite battery price signal ranges from 1.00 to 1.43 (index, baseline = 1.0), reflecting progressive raw-material scarcity as demand outpaces supply growth.</w:t>
      </w:r>
    </w:p>
    <w:p>
      <w:pPr>
        <w:pStyle w:val="ListBullet"/>
      </w:pPr>
      <w:r>
        <w:t>Mean mineral stock levels: cobalt 5.3 wk, graphite 3.0 wk, REE 8.5 wk, SiC wafer 12.0 wk — all within ±50% of configured safety targets.</w:t>
      </w:r>
    </w:p>
    <w:p>
      <w:r>
        <w:br w:type="page"/>
      </w:r>
    </w:p>
    <w:p>
      <w:pPr>
        <w:pStyle w:val="Heading1"/>
      </w:pPr>
      <w:r>
        <w:t>3. Shock Scenario Results</w:t>
      </w:r>
    </w:p>
    <w:p>
      <w:r>
        <w:rPr>
          <w:b w:val="0"/>
          <w:i w:val="0"/>
        </w:rPr>
        <w:t>Table 2 summarises all nine base shock scenarios ranked by cumulative OEM production loss vs the baseline over the 260-week horizon.</w:t>
      </w:r>
    </w:p>
    <w:p>
      <w:r>
        <w:rPr>
          <w:b/>
          <w:i/>
        </w:rPr>
        <w:t>Table 2: Shock scenario performance metrics (260-week, seed 42)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Mean OEM</w:t>
              <w:br/>
              <w:t>(k veh/wk)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Cum. Loss</w:t>
              <w:br/>
              <w:t>(k veh)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Peak Price</w:t>
              <w:br/>
              <w:t>Signal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Max Backlog</w:t>
              <w:br/>
              <w:t>(k veh)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Min Cobalt</w:t>
              <w:br/>
              <w:t>Stock (wk)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UK Supply Chain Friction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35.6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4.44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US–China Tariff Shock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4.67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China REE Export Restriction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4.45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China Graphite Disruption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4.53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CATL Disruption (China)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4.44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Compound Shock (Cobalt + Harness)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4.38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DRC Cobalt Supply Shock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4.38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SiC Wafer Bottleneck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4.45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Ukraine Harness Plant Closure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4.45</w:t>
            </w:r>
          </w:p>
        </w:tc>
      </w:tr>
    </w:tbl>
    <w:p/>
    <w:p>
      <w:pPr>
        <w:pStyle w:val="Heading2"/>
      </w:pPr>
      <w:r>
        <w:t>3.1 Scenario Narratives</w:t>
      </w:r>
    </w:p>
    <w:p>
      <w:r>
        <w:rPr>
          <w:b/>
          <w:i w:val="0"/>
        </w:rPr>
        <w:t>UK Supply Chain Friction</w:t>
      </w:r>
    </w:p>
    <w:p>
      <w:r>
        <w:rPr>
          <w:b w:val="0"/>
          <w:i w:val="0"/>
        </w:rPr>
        <w:t>The most damaging scenario for UK production. A sustained 10% severity shock to uk_oem (weeks 4–56) and 8% to the harness supplier (weeks 4–30) produces a cumulative loss of 35,583 vehicles — 94× larger than the next worst scenario. Mean OEM output falls from 8.53 to 8.39 k veh/wk (−1.6%), with a maximum backlog of 138 k vehicles. The shock persists because it directly impairs the UK-specific OEM and its domestic harness supplier.</w:t>
      </w:r>
    </w:p>
    <w:p/>
    <w:p>
      <w:r>
        <w:rPr>
          <w:b/>
          <w:i w:val="0"/>
        </w:rPr>
        <w:t>US–China Tariff Shock</w:t>
      </w:r>
    </w:p>
    <w:p>
      <w:r>
        <w:rPr>
          <w:b w:val="0"/>
          <w:i w:val="0"/>
        </w:rPr>
        <w:t>Sustained shocks to CATL (−30%), China graphite (−35%), and China REE (−30%) from week 26–260/130 compound gradually over the five-year horizon. Cumulative loss is 0.45 k vehicles — modest because the UK OEM's small global footprint means it can continue sourcing from non-China suppliers.</w:t>
      </w:r>
    </w:p>
    <w:p/>
    <w:p>
      <w:r>
        <w:rPr>
          <w:b/>
          <w:i w:val="0"/>
        </w:rPr>
        <w:t>DRC Cobalt Supply Shock</w:t>
      </w:r>
    </w:p>
    <w:p>
      <w:r>
        <w:rPr>
          <w:b w:val="0"/>
          <w:i w:val="0"/>
        </w:rPr>
        <w:t>A 50% severity shock to DRC cobalt agents (weeks 26–52) reduces cobalt stock by 0.077 wk during the peak depletion window (weeks 34–60). Cobalt price rises modestly (+0.2 pp above baseline). The LFP chemistry substitution loop partially absorbs demand, limiting OEM production loss to 0.22 k vehicles.</w:t>
      </w:r>
    </w:p>
    <w:p/>
    <w:p>
      <w:r>
        <w:rPr>
          <w:b/>
          <w:i w:val="0"/>
        </w:rPr>
        <w:t>Ukraine Harness Plant Closure</w:t>
      </w:r>
    </w:p>
    <w:p>
      <w:r>
        <w:rPr>
          <w:b w:val="0"/>
          <w:i w:val="0"/>
        </w:rPr>
        <w:t>Despite an 80% severity shock (weeks 4–12) followed by 35% (weeks 12–36) to the harness Tier-1 agent, cumulative OEM production loss is negligible (0 k vehicles). The harness agent has substantial spare capacity relative to UK demand, so even 20% of capacity exceeds the weekly demand of ~3.6 k units. OEM backlog rises slightly during the shock period.</w:t>
      </w:r>
    </w:p>
    <w:p/>
    <w:p>
      <w:r>
        <w:rPr>
          <w:b/>
          <w:i w:val="0"/>
        </w:rPr>
        <w:t>China Graphite Disruption</w:t>
      </w:r>
    </w:p>
    <w:p>
      <w:r>
        <w:rPr>
          <w:b w:val="0"/>
          <w:i w:val="0"/>
        </w:rPr>
        <w:t>A 45% severity shock to graphite_chn (weeks 8–60) depletes graphite stock by 0.088 wk at peak (weeks 12–60). Graphite price rises above baseline. Cumulative loss is 0.27 k vehicles over 260 weeks.</w:t>
      </w:r>
    </w:p>
    <w:p/>
    <w:p>
      <w:pPr>
        <w:pStyle w:val="Heading2"/>
      </w:pPr>
      <w:r>
        <w:t>3.2 Shock Propagation Chain</w:t>
      </w:r>
    </w:p>
    <w:p>
      <w:r>
        <w:rPr>
          <w:b w:val="0"/>
          <w:i w:val="0"/>
        </w:rPr>
        <w:t>Table 3 traces the signal at each tier for the three mineral shocks with verified propagation.</w:t>
      </w:r>
    </w:p>
    <w:p>
      <w:r>
        <w:rPr>
          <w:b/>
          <w:i/>
        </w:rPr>
        <w:t>Table 3: Mineral stock and price propagation during shock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Mineral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Stock (base-&gt;shock) wk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Stock Change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Price (base-&gt;shock)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Price Change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DRC Cobalt Supply Shock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Cobalt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5.935 -&gt; 5.857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-1.3%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1.2404 -&gt; 1.2437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+0.26%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China Graphite Disruption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Graphite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3.947 -&gt; 3.885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-1.6%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1.2147 -&gt; 1.2207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+0.49%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China REE Export Restriction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8.811 -&gt; 8.687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-1.4%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1.1942 -&gt; 1.2012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+0.58%</w:t>
            </w:r>
          </w:p>
        </w:tc>
      </w:tr>
    </w:tbl>
    <w:p/>
    <w:p>
      <w:r>
        <w:br w:type="page"/>
      </w:r>
    </w:p>
    <w:p>
      <w:pPr>
        <w:pStyle w:val="Heading1"/>
      </w:pPr>
      <w:r>
        <w:t>4. Policy Intervention Results</w:t>
      </w:r>
    </w:p>
    <w:p>
      <w:r>
        <w:rPr>
          <w:b w:val="0"/>
          <w:i w:val="0"/>
        </w:rPr>
        <w:t>Four policy packages derived from the UK Advanced Manufacturing Sector Plan and DRIVE35 framework are evaluated. Table 4 compares all three packages against the no-policy baseline for the UK Supply Chain Friction scenario — the most policy-relevant case.</w:t>
      </w:r>
    </w:p>
    <w:p>
      <w:r>
        <w:rPr>
          <w:b/>
          <w:i/>
        </w:rPr>
        <w:t>Table 4: Policy effectiveness under UK Supply Chain Friction scenario (260 weeks)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Policy Package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Mean OEM (k/wk)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Cum. Loss (k veh)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Recovery Week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OEM Uplift vs No-Policy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No policy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8.395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35.6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Tier-1 Resilience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9.278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7.2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+10.5%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Critical Minerals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8.409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32.5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+0.2%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Full Industrial Strategy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9.823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2.4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+17.0%</w:t>
            </w:r>
          </w:p>
        </w:tc>
      </w:tr>
    </w:tbl>
    <w:p/>
    <w:p>
      <w:pPr>
        <w:pStyle w:val="Heading2"/>
      </w:pPr>
      <w:r>
        <w:t>4.1 Package-Level Analysis</w:t>
      </w:r>
    </w:p>
    <w:p>
      <w:r>
        <w:rPr>
          <w:b/>
          <w:i w:val="0"/>
        </w:rPr>
        <w:t>Battery Sovereignty Package</w:t>
      </w:r>
    </w:p>
    <w:p>
      <w:r>
        <w:rPr>
          <w:b w:val="0"/>
          <w:i w:val="0"/>
        </w:rPr>
        <w:t>Doubles AESC UK cell weekly capacity (×2.25), accelerates capacity growth (×1.65), and reduces imported cell concentration risk. The SD policy layer activates a 13-week linear ramp, cutting the CAPEX trigger threshold by 8% and raising build speed by 20%. The package contributes primarily to the Full Strategy uplift rather than acting as a standalone supply-chain defence for the UK OEM.</w:t>
      </w:r>
    </w:p>
    <w:p/>
    <w:p>
      <w:r>
        <w:rPr>
          <w:b/>
          <w:i w:val="0"/>
        </w:rPr>
        <w:t>Tier-1 Resilience Package</w:t>
      </w:r>
    </w:p>
    <w:p>
      <w:r>
        <w:rPr>
          <w:b w:val="0"/>
          <w:i w:val="0"/>
        </w:rPr>
        <w:t>Raises harness safety stock by 1.45× and other Tier-1 components by 1.25×. Recovery rate improves by 30% and capacity growth by 20% across all four Tier-1 agents. Under UK friction, this package alone reduces cumulative loss by 80% (35.6 → 7.2 k vehicles) and accelerates recovery by 16 weeks. This is the single most effective package for UK domestic resilience.</w:t>
      </w:r>
    </w:p>
    <w:p/>
    <w:p>
      <w:r>
        <w:rPr>
          <w:b/>
          <w:i w:val="0"/>
        </w:rPr>
        <w:t>Critical Minerals Security Package</w:t>
      </w:r>
    </w:p>
    <w:p>
      <w:r>
        <w:rPr>
          <w:b w:val="0"/>
          <w:i w:val="0"/>
        </w:rPr>
        <w:t>Injects strategic buffer stock (cobalt +2 wk, REE +3 wk, SiC +3 wk) and activates recycling/urban-mining pathways (outflow reduction 5–15% per mineral). Under UK friction, the standalone minerals package has limited effect (+0.2% mean OEM) because the UK friction scenario is constrained at the OEM/Tier-1 level, not at the mineral level. However, mineral stocks are substantially higher in all mineral-policy scenarios (cobalt: 4.4 → 7.6 wk).</w:t>
      </w:r>
    </w:p>
    <w:p/>
    <w:p>
      <w:r>
        <w:rPr>
          <w:b/>
          <w:i w:val="0"/>
        </w:rPr>
        <w:t>Full Industrial Strategy (DRIVE35)</w:t>
      </w:r>
    </w:p>
    <w:p>
      <w:r>
        <w:rPr>
          <w:b w:val="0"/>
          <w:i w:val="0"/>
        </w:rPr>
        <w:t>Combines all three packages with an additional 10% overlay on capacity growth and recovery rates across all agents. Reduces UK friction cumulative loss by 93% (35,583 → 2,444 vehicles), raises mean OEM production by 17%, and shortens recovery to week 106 (vs 128 without policy). This represents the upper bound of achievable resilience within the model's parameterisation.</w:t>
      </w:r>
    </w:p>
    <w:p/>
    <w:p>
      <w:pPr>
        <w:pStyle w:val="Heading2"/>
      </w:pPr>
      <w:r>
        <w:t>4.2 Full Strategy — Cross-Scenario Comparison</w:t>
      </w:r>
    </w:p>
    <w:p>
      <w:r>
        <w:rPr>
          <w:b/>
          <w:i/>
        </w:rPr>
        <w:t>Table 5: Full Industrial Strategy impact across all shock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No Policy</w:t>
              <w:br/>
              <w:t>(k/wk)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Full Policy</w:t>
              <w:br/>
              <w:t>(k/wk)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Uplift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Recovery</w:t>
              <w:br/>
              <w:t>(No Policy)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Recovery</w:t>
              <w:br/>
              <w:t>(Full Policy)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UK Supply Chain Friction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8.395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9.823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+17.0%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China REE Export Restriction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9.879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China Graphite Disruption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9.878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CATL Disruption (China)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9.880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Compound Shock (Cobalt + Harness)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9.880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DRC Cobalt Supply Shock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9.880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SiC Wafer Bottleneck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9.880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Ukraine Harness Plant Closure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9.880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+15.8%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103</w:t>
            </w:r>
          </w:p>
        </w:tc>
      </w:tr>
    </w:tbl>
    <w:p/>
    <w:p>
      <w:r>
        <w:br w:type="page"/>
      </w:r>
    </w:p>
    <w:p>
      <w:pPr>
        <w:pStyle w:val="Heading1"/>
      </w:pPr>
      <w:r>
        <w:t>5. Model Validation</w:t>
      </w:r>
    </w:p>
    <w:p>
      <w:r>
        <w:rPr>
          <w:b w:val="0"/>
          <w:i w:val="0"/>
        </w:rPr>
        <w:t>The model was validated through four complementary test suites. Table 6 summarises the validation scorecard.</w:t>
      </w:r>
    </w:p>
    <w:p>
      <w:r>
        <w:rPr>
          <w:b/>
          <w:i/>
        </w:rPr>
        <w:t>Table 6: Validation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Suite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Total Checks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SD Layer Unit Tests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test_sd_model.py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SD Policy Tests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test_sd_policy.py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ABM &amp; Hybrid Tests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test_abm.py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Full Model Validation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validate_model.py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TOTAL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2"/>
      </w:pPr>
      <w:r>
        <w:t>5.1 Validation Categories</w:t>
      </w:r>
    </w:p>
    <w:p>
      <w:r>
        <w:rPr>
          <w:b/>
          <w:i w:val="0"/>
        </w:rPr>
        <w:t>static (180)</w:t>
      </w:r>
    </w:p>
    <w:p>
      <w:r>
        <w:rPr>
          <w:b w:val="0"/>
          <w:i w:val="0"/>
        </w:rPr>
        <w:t>Configuration integrity: cell market shares sum to 1.0, OEM targets match global anchor, all shock targets resolvable to named agents.</w:t>
      </w:r>
    </w:p>
    <w:p>
      <w:r>
        <w:rPr>
          <w:b/>
          <w:i w:val="0"/>
        </w:rPr>
        <w:t>invariants (170)</w:t>
      </w:r>
    </w:p>
    <w:p>
      <w:r>
        <w:rPr>
          <w:b w:val="0"/>
          <w:i w:val="0"/>
        </w:rPr>
        <w:t>Numeric stability: finite values, non-negative stocks and flows, bounded LFP share [0.20–0.80], bounded price indices [0.5–6.0].</w:t>
      </w:r>
    </w:p>
    <w:p>
      <w:r>
        <w:rPr>
          <w:b/>
          <w:i w:val="0"/>
        </w:rPr>
        <w:t>run (34)</w:t>
      </w:r>
    </w:p>
    <w:p>
      <w:r>
        <w:rPr>
          <w:b w:val="0"/>
          <w:i w:val="0"/>
        </w:rPr>
        <w:t>All 34 scenarios simulate to completion without exception.</w:t>
      </w:r>
    </w:p>
    <w:p>
      <w:r>
        <w:rPr>
          <w:b/>
          <w:i w:val="0"/>
        </w:rPr>
        <w:t>baseline (5)</w:t>
      </w:r>
    </w:p>
    <w:p>
      <w:r>
        <w:rPr>
          <w:b w:val="0"/>
          <w:i w:val="0"/>
        </w:rPr>
        <w:t>Week-0 outputs within ±15% of 2023 calibration anchors for OEM production, cell output, demand, and price signal.</w:t>
      </w:r>
    </w:p>
    <w:p>
      <w:r>
        <w:rPr>
          <w:b/>
          <w:i w:val="0"/>
        </w:rPr>
        <w:t>scenario (14)</w:t>
      </w:r>
    </w:p>
    <w:p>
      <w:r>
        <w:rPr>
          <w:b w:val="0"/>
          <w:i w:val="0"/>
        </w:rPr>
        <w:t>Face-validity: UK friction reduces OEM output; mineral shocks deplete stocks and raise prices; compound shock ≥ largest single shock.</w:t>
      </w:r>
    </w:p>
    <w:p>
      <w:r>
        <w:rPr>
          <w:b/>
          <w:i w:val="0"/>
        </w:rPr>
        <w:t>propagation (12)</w:t>
      </w:r>
    </w:p>
    <w:p>
      <w:r>
        <w:rPr>
          <w:b w:val="0"/>
          <w:i w:val="0"/>
        </w:rPr>
        <w:t>Full chain tracing: DRC cobalt → stock falls → price rises → LFP shift; graphite shock → stock/price; CATL shock → cell production falls; UK friction → OEM production falls → backlog rises; price recovery after shock ends.</w:t>
      </w:r>
    </w:p>
    <w:p>
      <w:r>
        <w:rPr>
          <w:b/>
          <w:i w:val="0"/>
        </w:rPr>
        <w:t>policy (9)</w:t>
      </w:r>
    </w:p>
    <w:p>
      <w:r>
        <w:rPr>
          <w:b w:val="0"/>
          <w:i w:val="0"/>
        </w:rPr>
        <w:t>Each policy package raises mean OEM production vs same-shock no-policy; Full Strategy shortens recovery; minerals policy raises cobalt stock during DRC shock.</w:t>
      </w:r>
    </w:p>
    <w:p>
      <w:r>
        <w:rPr>
          <w:b/>
          <w:i w:val="0"/>
        </w:rPr>
        <w:t>dynamics (7)</w:t>
      </w:r>
    </w:p>
    <w:p>
      <w:r>
        <w:rPr>
          <w:b w:val="0"/>
          <w:i w:val="0"/>
        </w:rPr>
        <w:t>System dynamics: demand grows at IEA-range rate; LFP bounded; bullwhip &gt; 1; cell utilisation non-trivial.</w:t>
      </w:r>
    </w:p>
    <w:p>
      <w:r>
        <w:rPr>
          <w:b/>
          <w:i w:val="0"/>
        </w:rPr>
        <w:t>consistency (9)</w:t>
      </w:r>
    </w:p>
    <w:p>
      <w:r>
        <w:rPr>
          <w:b w:val="0"/>
          <w:i w:val="0"/>
        </w:rPr>
        <w:t>Cross-layer consistency: mineral stocks near target; no cell stockout; OEM production grows 260 weeks; price signal &gt; 1.0 in steady state.</w:t>
      </w:r>
    </w:p>
    <w:p>
      <w:r>
        <w:rPr>
          <w:b/>
          <w:i w:val="0"/>
        </w:rPr>
        <w:t>real_timeseries (2)</w:t>
      </w:r>
    </w:p>
    <w:p>
      <w:r>
        <w:rPr>
          <w:b w:val="0"/>
          <w:i w:val="0"/>
        </w:rPr>
        <w:t>ONS/SMMT indexed comparison: baseline and UK friction MAE reported over 34 months (2023–2025). Note: model tracks UK EV OEM output; observed series is total UK car registrations — structural difference limits direct MAE interpretation.</w:t>
      </w:r>
    </w:p>
    <w:p>
      <w:r>
        <w:rPr>
          <w:b/>
          <w:i w:val="0"/>
        </w:rPr>
        <w:t>outputs (34)</w:t>
      </w:r>
    </w:p>
    <w:p>
      <w:r>
        <w:rPr>
          <w:b w:val="0"/>
          <w:i w:val="0"/>
        </w:rPr>
        <w:t>All 34 scenario CSV files present and schema-consistent with fresh model output.</w:t>
      </w:r>
    </w:p>
    <w:p>
      <w:pPr>
        <w:pStyle w:val="Heading2"/>
      </w:pPr>
      <w:r>
        <w:t>5.2 Historical Time-Series Comparison</w:t>
      </w:r>
    </w:p>
    <w:p>
      <w:r>
        <w:rPr>
          <w:b w:val="0"/>
          <w:i w:val="0"/>
        </w:rPr>
        <w:t>The model baseline was compared against the ONS/SMMT UK new vehicle registration index (seasonally adjusted, 2023 average = 100) over 34 months (2023-01 to 2025-10). The indexed MAE is 51.0 index points (MAPE = 64.2%). This large error reflects a structural mismatch: the observed series covers total UK car registrations (~75,846 vehicles/month) while the model tracks UK EV-oriented OEM output only (~18,377 k vehicles/month). A direct level comparison is therefore not appropriate; the indexed comparison confirms the model captures the directional growth trend.</w:t>
      </w:r>
    </w:p>
    <w:p>
      <w:r>
        <w:br w:type="page"/>
      </w:r>
    </w:p>
    <w:p>
      <w:pPr>
        <w:pStyle w:val="Heading1"/>
      </w:pPr>
      <w:r>
        <w:t>6. Model Limitations and Caveats</w:t>
      </w:r>
    </w:p>
    <w:p>
      <w:r>
        <w:rPr>
          <w:b/>
          <w:i w:val="0"/>
        </w:rPr>
        <w:t>UK focus and global supply chain</w:t>
      </w:r>
    </w:p>
    <w:p>
      <w:r>
        <w:rPr>
          <w:b w:val="0"/>
          <w:i w:val="0"/>
        </w:rPr>
        <w:t>The UK OEM represents ~2.4% of global cell demand. Global mineral shocks produce modest price and stock signals because the UK is a price-taker, not a price-setter, in global markets. Larger effects would be visible in a global-focus run.</w:t>
      </w:r>
    </w:p>
    <w:p/>
    <w:p>
      <w:r>
        <w:rPr>
          <w:b/>
          <w:i w:val="0"/>
        </w:rPr>
        <w:t>Agent heterogeneity vs real-world complexity</w:t>
      </w:r>
    </w:p>
    <w:p>
      <w:r>
        <w:rPr>
          <w:b w:val="0"/>
          <w:i w:val="0"/>
        </w:rPr>
        <w:t>Each supply-chain tier is represented by a small number of archetypal agents (9 cell manufacturers, 4 Tier-1 types, 7 OEMs). Real-world heterogeneity and firm-level relationships are necessarily abstracted.</w:t>
      </w:r>
    </w:p>
    <w:p/>
    <w:p>
      <w:r>
        <w:rPr>
          <w:b/>
          <w:i w:val="0"/>
        </w:rPr>
        <w:t>Deterministic policy representation</w:t>
      </w:r>
    </w:p>
    <w:p>
      <w:r>
        <w:rPr>
          <w:b w:val="0"/>
          <w:i w:val="0"/>
        </w:rPr>
        <w:t>Policy packages apply step changes (with 13-week linear ramp) to agent parameters. In practice, policy effects are uncertain, time-lagged, and conditional on complementary investments.</w:t>
      </w:r>
    </w:p>
    <w:p/>
    <w:p>
      <w:r>
        <w:rPr>
          <w:b/>
          <w:i w:val="0"/>
        </w:rPr>
        <w:t>No financial contagion</w:t>
      </w:r>
    </w:p>
    <w:p>
      <w:r>
        <w:rPr>
          <w:b w:val="0"/>
          <w:i w:val="0"/>
        </w:rPr>
        <w:t>The model does not represent credit constraints, equity markets, or insolvency cascades that could amplify supply shocks in reality.</w:t>
      </w:r>
    </w:p>
    <w:p/>
    <w:p>
      <w:r>
        <w:rPr>
          <w:b/>
          <w:i w:val="0"/>
        </w:rPr>
        <w:t>Exogenous demand growth</w:t>
      </w:r>
    </w:p>
    <w:p>
      <w:r>
        <w:rPr>
          <w:b w:val="0"/>
          <w:i w:val="0"/>
        </w:rPr>
        <w:t>Market demand grows at a fixed IEA-calibrated rate independent of vehicle price or income effects. Consumer behaviour responses to price shocks are captured only through the price-elasticity parameter.</w:t>
      </w:r>
    </w:p>
    <w:p/>
    <w:p>
      <w:r>
        <w:rPr>
          <w:b/>
          <w:i w:val="0"/>
        </w:rPr>
        <w:t>Historical MAE caveat</w:t>
      </w:r>
    </w:p>
    <w:p>
      <w:r>
        <w:rPr>
          <w:b w:val="0"/>
          <w:i w:val="0"/>
        </w:rPr>
        <w:t>The real time-series comparison covers total UK car registrations (ICE + EV) against the model's UK EV OEM output. This is structurally incomparable and the MAE should be interpreted as a trend-direction check, not an accuracy measure.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Supply Chain ABM+SD Model — Simulation Results</dc:title>
  <dc:subject/>
  <dc:creator>EV Supply Chain Model — Auto-Generated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