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Money figures are 30-year totals expressed in today's money, following standard UK Treasury (Green Book) guidance that values a pound next year slightly below a pound today (a "discount rate" of 3.5%).</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2"/>
      </w:pPr>
      <w:r>
        <w:t>2.1 — How can the Department support innovation that will support circularity (recycling, recovering materials, secondary-material markets and circular design in manufacturing)?</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w:t>
      </w:r>
      <w:r>
        <w:t xml:space="preserve"> Do the cheap, high-value things first (rules requiring recycled content in public contracts, design-for-recycling standards, digital "product passports" that track materials); then fund collection and an innovation partnership with Ionic and QUB; then help build processing capacity for battery metals.</w:t>
      </w:r>
    </w:p>
    <w:p>
      <w:pPr>
        <w:pStyle w:val="Heading2"/>
      </w:pPr>
      <w:r>
        <w:t>2.2 — What are the key opportunities and challenges for sustainable minerals development?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worth roughly </w:t>
      </w:r>
      <w:r>
        <w:rPr>
          <w:b/>
        </w:rPr>
        <w:t>ten times</w:t>
      </w:r>
      <w:r>
        <w:t xml:space="preserve"> as much as cheaper finance, faster planning or skills support on their own. For critical minerals specifically, the realistic prize is </w:t>
      </w:r>
      <w:r>
        <w:rPr>
          <w:b/>
        </w:rPr>
        <w:t>recycling and processing</w:t>
      </w:r>
      <w:r>
        <w:t>, because NI has very little of this geology.</w:t>
      </w:r>
    </w:p>
    <w:p>
      <w:r>
        <w:rPr>
          <w:b/>
        </w:rPr>
        <w:t>Our recommendation.</w:t>
      </w:r>
      <w:r>
        <w:t xml:space="preserve"> Treat genuine </w:t>
      </w:r>
      <w:r>
        <w:rPr>
          <w:b/>
        </w:rPr>
        <w:t>community benefit and high responsibility standards as the central condition</w:t>
      </w:r>
      <w:r>
        <w:t xml:space="preserve"> for any new mining; pursue critical minerals mainly through recycling and processing.</w:t>
      </w:r>
    </w:p>
    <w:p>
      <w:pPr>
        <w:pStyle w:val="Heading2"/>
      </w:pPr>
      <w:r>
        <w:t>2.3 — What support is needed for businesses to take part in the minerals supply chain?</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w:t>
      </w:r>
      <w:r>
        <w:t xml:space="preserve"> Prioritise </w:t>
      </w:r>
      <w:r>
        <w:rPr>
          <w:b/>
        </w:rPr>
        <w:t>money and guaranteed contracts for the processing/recycling stage</w:t>
      </w:r>
      <w:r>
        <w:t xml:space="preserve">, set up as </w:t>
      </w:r>
      <w:r>
        <w:rPr>
          <w:b/>
        </w:rPr>
        <w:t>standing, repeatable schemes</w:t>
      </w:r>
      <w:r>
        <w:t xml:space="preserve"> rather than one-off grants; and offer businesses a </w:t>
      </w:r>
      <w:r>
        <w:rPr>
          <w:b/>
        </w:rPr>
        <w:t>single "front door"</w:t>
      </w:r>
      <w:r>
        <w:t xml:space="preserve"> for a strategic project (NI could, under the Windsor Framework, tap both EU fast-track permissions and UK funding).</w:t>
      </w:r>
    </w:p>
    <w:p>
      <w:pPr>
        <w:pStyle w:val="Heading2"/>
      </w:pPr>
      <w:r>
        <w:t>2.4 — What role should we have in ensuring a secure supply of minerals?</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w:t>
      </w:r>
      <w:r>
        <w:t xml:space="preserve"> Government should act as an </w:t>
      </w:r>
      <w:r>
        <w:rPr>
          <w:b/>
        </w:rPr>
        <w:t>active co-ordinator and insurer</w:t>
      </w:r>
      <w:r>
        <w:t xml:space="preserve"> — set the targets; reduce the risk of building processing capacity (funding plus guaranteed-purchase contracts); fix collection of recyclables; spread suppliers and hold a modest reserve; and insist on high standards. This is the approach Japan used to cut its reliance on Chinese rare earths from about 90% to about 58%.</w:t>
      </w:r>
    </w:p>
    <w:p>
      <w:pPr>
        <w:pStyle w:val="Heading2"/>
      </w:pPr>
      <w:r>
        <w:t>2.5 — How can the sector contribute to local employment, skills development and regional growth?</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w:t>
      </w:r>
      <w:r>
        <w:t xml:space="preserve"> </w:t>
      </w:r>
      <w:r>
        <w:rPr>
          <w:b/>
        </w:rPr>
        <w:t>Tie public support to local-supplier and training commitments</w:t>
      </w:r>
      <w:r>
        <w:t>, and build a green-skills/critical-minerals training pipeline now (further-education colleges, QUB, apprenticeships) — it is the thing that decides whether the jobs actually appear.</w:t>
      </w:r>
    </w:p>
    <w:p>
      <w:pPr>
        <w:pStyle w:val="Heading2"/>
      </w:pPr>
      <w:r>
        <w:t>2.6 — What are the potential economic benefits of mineral development?</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w:t>
      </w:r>
      <w:r>
        <w:t xml:space="preserve"> Make the economic case as a </w:t>
      </w:r>
      <w:r>
        <w:rPr>
          <w:b/>
        </w:rPr>
        <w:t>whole package</w:t>
      </w:r>
      <w:r>
        <w:t xml:space="preserve"> (recycling + responsible mining + local content), and count </w:t>
      </w:r>
      <w:r>
        <w:rPr>
          <w:b/>
        </w:rPr>
        <w:t>supply security and avoided imports</w:t>
      </w:r>
      <w:r>
        <w:t xml:space="preserve"> alongside the headline value — not mining support in isolation.</w:t>
      </w:r>
    </w:p>
    <w:p>
      <w:pPr>
        <w:pStyle w:val="Heading2"/>
      </w:pPr>
      <w:r>
        <w:t>2.7 — What are the potential economic negative impacts of mineral development?</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benefit to NI can actually fall below doing nothing</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and keeps the most value locally.</w:t>
      </w:r>
    </w:p>
    <w:p>
      <w:r>
        <w:rPr>
          <w:b/>
        </w:rPr>
        <w:t>Our recommendation.</w:t>
      </w:r>
      <w:r>
        <w:t xml:space="preserve"> Reduce the economic downsides by </w:t>
      </w:r>
      <w:r>
        <w:rPr>
          <w:b/>
        </w:rPr>
        <w:t>using local suppliers and workers</w:t>
      </w:r>
      <w:r>
        <w:t xml:space="preserve"> (keeps value in NI), </w:t>
      </w:r>
      <w:r>
        <w:rPr>
          <w:b/>
        </w:rPr>
        <w:t>requiring clean-up costs to be paid into a bond up front</w:t>
      </w:r>
      <w:r>
        <w:t xml:space="preserve"> and land to be restored, </w:t>
      </w:r>
      <w:r>
        <w:rPr>
          <w:b/>
        </w:rPr>
        <w:t>using guaranteed-price contracts to smooth boom-and-bust</w:t>
      </w:r>
      <w:r>
        <w:t xml:space="preserve">, and </w:t>
      </w:r>
      <w:r>
        <w:rPr>
          <w:b/>
        </w:rPr>
        <w:t>pairing any contested mine with recycling capacity</w:t>
      </w:r>
      <w:r>
        <w:t xml:space="preserve"> so the region is not over-reliant on it.</w:t>
      </w:r>
    </w:p>
    <w:p>
      <w:pPr>
        <w:pStyle w:val="Heading2"/>
      </w:pPr>
      <w:r>
        <w:t>Summary of recommendations to the Department</w:t>
      </w:r>
    </w:p>
    <w:p>
      <w:pPr>
        <w:pStyle w:val="ListNumber"/>
      </w:pPr>
      <w:r>
        <w:rPr>
          <w:b/>
        </w:rPr>
        <w:t>Build the missing middle of the chain.</w:t>
      </w:r>
      <w:r>
        <w:t xml:space="preserve"> Help fund the first commercial processing/recycling plants (cost-sharing + guaranteed-purchase contracts) — the biggest gap and the highest-value action.</w:t>
      </w:r>
    </w:p>
    <w:p>
      <w:pPr>
        <w:pStyle w:val="ListNumber"/>
      </w:pPr>
      <w:r>
        <w:rPr>
          <w:b/>
        </w:rPr>
        <w:t>Fix collection of recyclable material</w:t>
      </w:r>
      <w:r>
        <w:t xml:space="preserve"> (a deposit-return / electronics take-back scheme) — the only way to hit the 20% recycling target.</w:t>
      </w:r>
    </w:p>
    <w:p>
      <w:pPr>
        <w:pStyle w:val="ListNumber"/>
      </w:pPr>
      <w:r>
        <w:rPr>
          <w:b/>
        </w:rPr>
        <w:t>Start with the cheap rules</w:t>
      </w:r>
      <w:r>
        <w:t xml:space="preserve"> — recycled-content requirements, design-for-recycling standards and product "passports" — high value, low cost.</w:t>
      </w:r>
    </w:p>
    <w:p>
      <w:pPr>
        <w:pStyle w:val="ListNumber"/>
      </w:pPr>
      <w:r>
        <w:rPr>
          <w:b/>
        </w:rPr>
        <w:t>Make any new mining responsible and contained</w:t>
      </w:r>
      <w:r>
        <w:t xml:space="preserve"> — community-benefit agreements (the key condition), high standards, and clean-up costs paid up front.</w:t>
      </w:r>
    </w:p>
    <w:p>
      <w:pPr>
        <w:pStyle w:val="ListNumber"/>
      </w:pPr>
      <w:r>
        <w:rPr>
          <w:b/>
        </w:rPr>
        <w:t>Tie support to local content and skills</w:t>
      </w:r>
      <w:r>
        <w:t xml:space="preserve"> — so the jobs and value stay in NI (raising the local share from about 70% to about 97%).</w:t>
      </w:r>
    </w:p>
    <w:p>
      <w:pPr>
        <w:pStyle w:val="ListNumber"/>
      </w:pPr>
      <w:r>
        <w:rPr>
          <w:b/>
        </w:rPr>
        <w:t>Create one "front door" for strategic projects and a modest safety net</w:t>
      </w:r>
      <w:r>
        <w:t xml:space="preserve"> — single-point support (using both UK and EU routes via the Windsor Framework), plus diversified suppliers and a small reserve for emergencies.</w:t>
      </w:r>
    </w:p>
    <w:p>
      <w:r>
        <w:t xml:space="preserve">*The method, data sources and assumptions behind this evidence are set out in an accompanying technical report, and the detailed figures in a fuller findings report; both can be supplied.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