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Q2.5 — Local employment, skills development &amp; regional growth</w:t>
      </w:r>
    </w:p>
    <w:p>
      <w:r>
        <w:rPr>
          <w:b/>
        </w:rPr>
        <w:t>Method:</w:t>
      </w:r>
      <w:r>
        <w:t xml:space="preserve"> the firm-grounded jobs-by-council-area output is split by </w:t>
      </w:r>
      <w:r>
        <w:rPr>
          <w:b/>
        </w:rPr>
        <w:t>skill level</w:t>
      </w:r>
      <w:r>
        <w:t xml:space="preserve"> and </w:t>
      </w:r>
      <w:r>
        <w:rPr>
          <w:b/>
        </w:rPr>
        <w:t>wage band</w:t>
      </w:r>
      <w:r>
        <w:t xml:space="preserve"> (ONS SOC / ASHE-by-industry structure on a real NISRA ASHE anchor — NI median FT wage £37,100/yr, </w:t>
      </w:r>
      <w:r>
        <w:rPr>
          <w:b/>
        </w:rPr>
        <w:t>2025</w:t>
      </w:r>
      <w:r>
        <w:t xml:space="preserve">), with </w:t>
      </w:r>
      <w:r>
        <w:rPr>
          <w:b/>
        </w:rPr>
        <w:t>retained local employment</w:t>
      </w:r>
      <w:r>
        <w:t xml:space="preserve"> (the Minviro leakage fix — rises with local-supplier and skills support) and a </w:t>
      </w:r>
      <w:r>
        <w:rPr>
          <w:b/>
        </w:rPr>
        <w:t>skilled training/apprenticeship need</w:t>
      </w:r>
      <w:r>
        <w:t>. Run across four policy scenarios. Figures are model behaviour, not forecasts.</w:t>
      </w:r>
    </w:p>
    <w:p>
      <w:pPr>
        <w:pStyle w:val="IntenseQuote"/>
      </w:pPr>
      <w:r>
        <w:rPr>
          <w:b/>
        </w:rPr>
        <w:t>Wage anchor updated (NISRA ASHE 2025).</w:t>
      </w:r>
      <w:r>
        <w:t xml:space="preserve"> The NI full-time median is now £37,100/yr (£713/wk), up from £34,632/yr (£666/wk) in 2024 — a +7% uplift. The wage *premium* below is a ratio to the NI median, so it is unchanged by the re-anchor; the *wage bill* scales up by the same ~7% (2024 remains available as a sensitivity).</w:t>
      </w:r>
    </w:p>
    <w:p>
      <w:pPr>
        <w:pStyle w:val="Heading2"/>
      </w:pPr>
      <w:r>
        <w:t>How the sector contributes</w:t>
      </w:r>
    </w:p>
    <w:p>
      <w:pPr>
        <w:pStyle w:val="ListBullet"/>
      </w:pPr>
      <w:r>
        <w:rPr>
          <w:b/>
        </w:rPr>
        <w:t>Quality jobs, above the NI average.</w:t>
      </w:r>
      <w:r>
        <w:t xml:space="preserve"> The minerals sectors pay a wage premium of ~</w:t>
      </w:r>
      <w:r>
        <w:rPr>
          <w:b/>
        </w:rPr>
        <w:t>109%</w:t>
      </w:r>
      <w:r>
        <w:t xml:space="preserve"> of the NI median (mining &amp; advanced manufacturing are skill-intensive: ~244 higher-skill roles in the local-content + skills scenario). Mining/quarrying is among the highest-paid UK industries (ONS ASHE).</w:t>
      </w:r>
    </w:p>
    <w:p>
      <w:pPr>
        <w:pStyle w:val="ListBullet"/>
      </w:pPr>
      <w:r>
        <w:rPr>
          <w:b/>
        </w:rPr>
        <w:t>Regional growth is rural-weighted.</w:t>
      </w:r>
      <w:r>
        <w:t xml:space="preserve"> End-year jobs concentrate in the council areas where the named firms sit — e.g. Belfast (222), Newry, Mourne &amp; Down (208), Antrim &amp; Newtownabbey (179), Fermanagh &amp; Omagh (155), Armagh, Banbridge &amp; Craigavon (151) — spreading growth beyond Belfast to the rural west and Mid Ulster.</w:t>
      </w:r>
    </w:p>
    <w:p>
      <w:pPr>
        <w:pStyle w:val="ListBullet"/>
      </w:pPr>
      <w:r>
        <w:rPr>
          <w:b/>
        </w:rPr>
        <w:t>Local retention is a policy choice.</w:t>
      </w:r>
      <w:r>
        <w:t xml:space="preserve"> Retained local employment rises from ~70% (baseline) to ~97% under a local-content + skills focus — i.e. 1351 of 1392 jobs kept in NI — directly addressing Minviro's warning that benefits leak out when specialist labour and equipment are imported. Minviro's own estimate of *retained direct jobs over 30 years* scales with activity (Scenario 2: 52; one-mine 3a: 1,225; two-mine 4b: 7,177), underlining that retention — not just headline jobs — is what the Department should target.</w:t>
      </w:r>
    </w:p>
    <w:p>
      <w:pPr>
        <w:pStyle w:val="ListBullet"/>
      </w:pPr>
      <w:r>
        <w:rPr>
          <w:b/>
        </w:rPr>
        <w:t>Skills are the binding enabler.</w:t>
      </w:r>
      <w:r>
        <w:t xml:space="preserve"> The sector needs ~254 skilled roles trained over the horizon, against an NI backdrop of ~7,500 skill-shortage vacancies and 5,000+ new roles needed annually — and a UK backdrop of apprenticeship participation down ~1/5 since 2016/17 and only 9% of upper-secondary vocational learners graduating in engineering/manufacturing (UK Industrial Strategy). A green-skills/critical-minerals pipeline (Skills England/DWP, FE colleges, QUB, Camborne-style provision) and apprenticeships are prerequisites, not add-ons.</w:t>
      </w:r>
    </w:p>
    <w:p>
      <w:pPr>
        <w:pStyle w:val="ListBullet"/>
      </w:pPr>
      <w:r>
        <w:rPr>
          <w:b/>
        </w:rPr>
        <w:t>Cluster-led regional policy.</w:t>
      </w:r>
      <w:r>
        <w:t xml:space="preserve"> The UK Industrial Strategy prioritises city regions and clusters for innovation funding and names </w:t>
      </w:r>
      <w:r>
        <w:rPr>
          <w:b/>
        </w:rPr>
        <w:t>Belfast as a critical-minerals cluster</w:t>
      </w:r>
      <w:r>
        <w:t xml:space="preserve"> — a route to concentrate the recycling/advanced-manufacturing growth while the rural west hosts extraction and equipment supply.</w:t>
      </w:r>
    </w:p>
    <w:p>
      <w:pPr>
        <w:pStyle w:val="Heading2"/>
      </w:pPr>
      <w:r>
        <w:t>Scenario comparison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total_jobs_end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minerals_sector_jobs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high_skill_jobs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wage_premium_vs_ni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retained_local_jobs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local_retention_rate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skilled_training_need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1_baseline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1147.7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861.7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1.112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803.4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193.0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2_circular_innovation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Circular innovation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1513.1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1131.2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262.4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1.088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1210.5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283.4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4_integrated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Integrated circular + primary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2010.2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1525.5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389.6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1.171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1728.8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697.7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local_skills_focus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Local-content + skills focus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1392.5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1042.2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243.6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1350.7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253.8</w:t>
            </w:r>
          </w:p>
        </w:tc>
      </w:tr>
    </w:tbl>
    <w:p>
      <w:pPr>
        <w:pStyle w:val="Heading2"/>
      </w:pPr>
      <w:r>
        <w:t>Recommendations</w:t>
      </w:r>
    </w:p>
    <w:p>
      <w:pPr>
        <w:pStyle w:val="ListNumber"/>
      </w:pPr>
      <w:r>
        <w:rPr>
          <w:b/>
        </w:rPr>
        <w:t>Tie support to local content &amp; skills.</w:t>
      </w:r>
      <w:r>
        <w:t xml:space="preserve"> Local-supplier development and a skills pipeline convert headline jobs into *retained* NI jobs and apprenticeships — the local-content + skills scenario delivers the highest retention and skilled-job share.</w:t>
      </w:r>
    </w:p>
    <w:p>
      <w:pPr>
        <w:pStyle w:val="ListNumber"/>
      </w:pPr>
      <w:r>
        <w:rPr>
          <w:b/>
        </w:rPr>
        <w:t>Target the rural west / Mid Ulster</w:t>
      </w:r>
      <w:r>
        <w:t xml:space="preserve"> (where mining/quarry and equipment firms sit) for regional-growth balance, and Belfast/Mid &amp; East Antrim for recycling/advanced-manufacturing clusters.</w:t>
      </w:r>
    </w:p>
    <w:p>
      <w:pPr>
        <w:pStyle w:val="ListNumber"/>
      </w:pPr>
      <w:r>
        <w:rPr>
          <w:b/>
        </w:rPr>
        <w:t>Build the green-skills pipeline now</w:t>
      </w:r>
      <w:r>
        <w:t xml:space="preserve"> (FE/apprenticeships + QUB + Skills England/DWP) — skills shortages are the binding constraint on capturing the jobs.</w:t>
      </w:r>
    </w:p>
    <w:p>
      <w:pPr>
        <w:pStyle w:val="Heading2"/>
      </w:pPr>
      <w:r>
        <w:t>Sources</w:t>
      </w:r>
    </w:p>
    <w:p>
      <w:pPr>
        <w:pStyle w:val="ListBullet"/>
      </w:pPr>
      <w:r>
        <w:t>NISRA ASHE 2025: NI median FT gross weekly £713 (~£37,100/yr), up from £666 (~£34,632/yr) in 2024 — the model's wage anchor; 2024 retained as a sensitivity</w:t>
      </w:r>
    </w:p>
    <w:p>
      <w:pPr>
        <w:pStyle w:val="ListBullet"/>
      </w:pPr>
      <w:r>
        <w:t>ONS ASHE by industry: mining &amp; quarrying among the highest-paid industries; manufacturing a modest premium</w:t>
      </w:r>
    </w:p>
    <w:p>
      <w:pPr>
        <w:pStyle w:val="ListBullet"/>
      </w:pPr>
      <w:r>
        <w:t>NI skills: ~7,500 skill-shortage vacancies (2024), 5,000+ new roles needed annually, STEM/engineering/apprenticeship gaps (NI Executive / DfE Skills Strategy)</w:t>
      </w:r>
    </w:p>
    <w:p>
      <w:pPr>
        <w:pStyle w:val="ListBullet"/>
      </w:pPr>
      <w:r>
        <w:t>Vision 2035: skills via Skills England + DWP; Camborne School of Mines; BGS human capital</w:t>
      </w:r>
    </w:p>
    <w:p>
      <w:pPr>
        <w:pStyle w:val="ListBullet"/>
      </w:pPr>
      <w:r>
        <w:t>UK Industrial Strategy 2025: apprenticeships down ~1/5 (2016/17-2023/24); 9% of vocational learners in engineering/manufacturing; Skills England aligns AM/Clean-Energy training; Belfast a named critical-minerals cluster, clusters prioritised for innovation funding</w:t>
      </w:r>
    </w:p>
    <w:p>
      <w:pPr>
        <w:pStyle w:val="ListBullet"/>
      </w:pPr>
      <w:r>
        <w:t>Minviro Final Report: retained direct jobs over 30 yrs (Scen2 52 ... 4b 7,177); benefits leak from the region if specialist labour/equipment imported (Galmoy/Lisheen)</w:t>
      </w:r>
    </w:p>
    <w:p>
      <w:r>
        <w:t>*Skill splits and sector wage indices are PROXY (ONS structure on a real NISRA anchor); replace with NISRA BRES-by-district and ASHE-by-industry-by-region.*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