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17F7" w14:textId="77777777" w:rsidR="002A51FF" w:rsidRPr="002A51FF" w:rsidRDefault="002A51FF" w:rsidP="002A51FF">
      <w:pPr>
        <w:rPr>
          <w:b/>
          <w:bCs/>
        </w:rPr>
      </w:pPr>
      <w:r w:rsidRPr="002A51FF">
        <w:rPr>
          <w:b/>
          <w:bCs/>
        </w:rPr>
        <w:t>Proposed model: Northern Ireland Circular Minerals Policy Model</w:t>
      </w:r>
    </w:p>
    <w:p w14:paraId="01023534" w14:textId="77777777" w:rsidR="002A51FF" w:rsidRPr="002A51FF" w:rsidRDefault="002A51FF" w:rsidP="002A51FF">
      <w:r w:rsidRPr="002A51FF">
        <w:t xml:space="preserve">The files point to a strong case for an integrated model rather than a single economic-impact model. The Department’s evidence need is not only “what happens if mining expands?” but “what mix of primary extraction, recycling, circular design, skills, finance, regulation and supply-chain resilience gives the best outcome?” The requirement document frames this explicitly around circular economy plus primary </w:t>
      </w:r>
      <w:proofErr w:type="gramStart"/>
      <w:r w:rsidRPr="002A51FF">
        <w:t>extraction, and</w:t>
      </w:r>
      <w:proofErr w:type="gramEnd"/>
      <w:r w:rsidRPr="002A51FF">
        <w:t xml:space="preserve"> asks for evidence against questions 2.1–2.7. </w:t>
      </w:r>
    </w:p>
    <w:p w14:paraId="4CBFB088" w14:textId="77777777" w:rsidR="002A51FF" w:rsidRPr="002A51FF" w:rsidRDefault="002A51FF" w:rsidP="002A51FF">
      <w:r w:rsidRPr="002A51FF">
        <w:t xml:space="preserve">The best design is a </w:t>
      </w:r>
      <w:r w:rsidRPr="002A51FF">
        <w:rPr>
          <w:b/>
          <w:bCs/>
        </w:rPr>
        <w:t>hybrid dynamic Input-Output + CGE + ABM model</w:t>
      </w:r>
      <w:r w:rsidRPr="002A51FF">
        <w:t xml:space="preserve">, with the </w:t>
      </w:r>
      <w:r w:rsidRPr="002A51FF">
        <w:rPr>
          <w:b/>
          <w:bCs/>
        </w:rPr>
        <w:t>ABM as the mineral supply-chain engine</w:t>
      </w:r>
      <w:r w:rsidRPr="002A51FF">
        <w:t xml:space="preserve">, dynamic I-O as the </w:t>
      </w:r>
      <w:r w:rsidRPr="002A51FF">
        <w:rPr>
          <w:b/>
          <w:bCs/>
        </w:rPr>
        <w:t>short- to medium-term impact accounting layer</w:t>
      </w:r>
      <w:r w:rsidRPr="002A51FF">
        <w:t xml:space="preserve">, and CGE as the </w:t>
      </w:r>
      <w:r w:rsidRPr="002A51FF">
        <w:rPr>
          <w:b/>
          <w:bCs/>
        </w:rPr>
        <w:t>economy-wide adjustment and policy-shock layer</w:t>
      </w:r>
      <w:r w:rsidRPr="002A51FF">
        <w:t>.</w:t>
      </w:r>
    </w:p>
    <w:p w14:paraId="70E4246D" w14:textId="77777777" w:rsidR="002A51FF" w:rsidRPr="002A51FF" w:rsidRDefault="002A51FF" w:rsidP="002A51FF">
      <w:r w:rsidRPr="002A51FF">
        <w:pict w14:anchorId="1F0F3482">
          <v:rect id="_x0000_i1073" style="width:0;height:1.5pt" o:hralign="center" o:hrstd="t" o:hr="t" fillcolor="#a0a0a0" stroked="f"/>
        </w:pict>
      </w:r>
    </w:p>
    <w:p w14:paraId="7B5658CA" w14:textId="77777777" w:rsidR="002A51FF" w:rsidRPr="002A51FF" w:rsidRDefault="002A51FF" w:rsidP="002A51FF">
      <w:pPr>
        <w:rPr>
          <w:b/>
          <w:bCs/>
        </w:rPr>
      </w:pPr>
      <w:r w:rsidRPr="002A51FF">
        <w:rPr>
          <w:b/>
          <w:bCs/>
        </w:rPr>
        <w:t>1. What the uploaded files imply</w:t>
      </w:r>
    </w:p>
    <w:p w14:paraId="3A992C81" w14:textId="77777777" w:rsidR="002A51FF" w:rsidRPr="002A51FF" w:rsidRDefault="002A51FF" w:rsidP="002A51FF">
      <w:r w:rsidRPr="002A51FF">
        <w:t xml:space="preserve">The </w:t>
      </w:r>
      <w:proofErr w:type="spellStart"/>
      <w:r w:rsidRPr="002A51FF">
        <w:t>Minviro</w:t>
      </w:r>
      <w:proofErr w:type="spellEnd"/>
      <w:r w:rsidRPr="002A51FF">
        <w:t xml:space="preserve"> report already provides a valuable starting point: it used a 30-year I-O framework to estimate GDP/GVA/employment effects under different exploration and mining scenarios, and a consequential LCA layer to estimate CO₂, particulate matter and employment impacts. In the most active mining scenario, the report estimated up to </w:t>
      </w:r>
      <w:r w:rsidRPr="002A51FF">
        <w:rPr>
          <w:b/>
          <w:bCs/>
        </w:rPr>
        <w:t>430 jobs, £43m output and over £9m GVA per annum</w:t>
      </w:r>
      <w:r w:rsidRPr="002A51FF">
        <w:t xml:space="preserve">, while a moderate one-mine scenario supported around </w:t>
      </w:r>
      <w:r w:rsidRPr="002A51FF">
        <w:rPr>
          <w:b/>
          <w:bCs/>
        </w:rPr>
        <w:t>73 jobs, £7.3m output and £1.6m GVA per annum</w:t>
      </w:r>
      <w:r w:rsidRPr="002A51FF">
        <w:t xml:space="preserve">. </w:t>
      </w:r>
    </w:p>
    <w:p w14:paraId="214D12BA" w14:textId="77777777" w:rsidR="002A51FF" w:rsidRPr="002A51FF" w:rsidRDefault="002A51FF" w:rsidP="002A51FF">
      <w:r w:rsidRPr="002A51FF">
        <w:t xml:space="preserve">The same report highlights a major limitation that your new model should </w:t>
      </w:r>
      <w:proofErr w:type="gramStart"/>
      <w:r w:rsidRPr="002A51FF">
        <w:t>address:</w:t>
      </w:r>
      <w:proofErr w:type="gramEnd"/>
      <w:r w:rsidRPr="002A51FF">
        <w:t xml:space="preserve"> mining projects can be economically detached from the host region if specialist labour, equipment and services are sourced externally, so not all modelled employment and procurement benefits are necessarily retained in Northern Ireland. This is exactly where ABM is useful, because it can model </w:t>
      </w:r>
      <w:r w:rsidRPr="002A51FF">
        <w:rPr>
          <w:b/>
          <w:bCs/>
        </w:rPr>
        <w:t>local supplier participation, skills constraints, procurement decisions and firm behaviour</w:t>
      </w:r>
      <w:r w:rsidRPr="002A51FF">
        <w:t>.</w:t>
      </w:r>
    </w:p>
    <w:p w14:paraId="24D43673" w14:textId="77777777" w:rsidR="002A51FF" w:rsidRPr="002A51FF" w:rsidRDefault="002A51FF" w:rsidP="002A51FF">
      <w:r w:rsidRPr="002A51FF">
        <w:t xml:space="preserve">The UK Critical Minerals Strategy, </w:t>
      </w:r>
      <w:r w:rsidRPr="002A51FF">
        <w:rPr>
          <w:i/>
          <w:iCs/>
        </w:rPr>
        <w:t>Vision 2035</w:t>
      </w:r>
      <w:r w:rsidRPr="002A51FF">
        <w:t xml:space="preserve">, sets a national direction that is highly relevant: the UK aims for at least </w:t>
      </w:r>
      <w:r w:rsidRPr="002A51FF">
        <w:rPr>
          <w:b/>
          <w:bCs/>
        </w:rPr>
        <w:t>10% of annual UK critical minerals demand</w:t>
      </w:r>
      <w:r w:rsidRPr="002A51FF">
        <w:t xml:space="preserve"> to be met through domestic production, </w:t>
      </w:r>
      <w:r w:rsidRPr="002A51FF">
        <w:rPr>
          <w:b/>
          <w:bCs/>
        </w:rPr>
        <w:t>20% through recycling</w:t>
      </w:r>
      <w:r w:rsidRPr="002A51FF">
        <w:t xml:space="preserve">, and no more than </w:t>
      </w:r>
      <w:r w:rsidRPr="002A51FF">
        <w:rPr>
          <w:b/>
          <w:bCs/>
        </w:rPr>
        <w:t>60% supplied by any single country</w:t>
      </w:r>
      <w:r w:rsidRPr="002A51FF">
        <w:t xml:space="preserve"> by 2035. It also recognises Northern Ireland’s role in permanent magnet recycling and critical minerals recovery from end-of-life products. </w:t>
      </w:r>
    </w:p>
    <w:p w14:paraId="7C399B30" w14:textId="77777777" w:rsidR="002A51FF" w:rsidRPr="002A51FF" w:rsidRDefault="002A51FF" w:rsidP="002A51FF">
      <w:proofErr w:type="gramStart"/>
      <w:r w:rsidRPr="002A51FF">
        <w:t>So</w:t>
      </w:r>
      <w:proofErr w:type="gramEnd"/>
      <w:r w:rsidRPr="002A51FF">
        <w:t xml:space="preserve"> the new model should not be a mining-only model. It should be a </w:t>
      </w:r>
      <w:r w:rsidRPr="002A51FF">
        <w:rPr>
          <w:b/>
          <w:bCs/>
        </w:rPr>
        <w:t>circular minerals system model</w:t>
      </w:r>
      <w:r w:rsidRPr="002A51FF">
        <w:t xml:space="preserve"> covering:</w:t>
      </w:r>
    </w:p>
    <w:p w14:paraId="4903703B" w14:textId="77777777" w:rsidR="002A51FF" w:rsidRPr="002A51FF" w:rsidRDefault="002A51FF" w:rsidP="002A51FF">
      <w:r w:rsidRPr="002A51FF">
        <w:rPr>
          <w:b/>
          <w:bCs/>
        </w:rPr>
        <w:t>primary extraction → processing/refining → manufacturing use → product stocks → waste collection → reuse/repair → recycling/recovery → secondary materials markets → imports/exports</w:t>
      </w:r>
    </w:p>
    <w:p w14:paraId="23F56193" w14:textId="77777777" w:rsidR="002A51FF" w:rsidRPr="002A51FF" w:rsidRDefault="002A51FF" w:rsidP="002A51FF">
      <w:r w:rsidRPr="002A51FF">
        <w:pict w14:anchorId="255E2776">
          <v:rect id="_x0000_i1074" style="width:0;height:1.5pt" o:hralign="center" o:hrstd="t" o:hr="t" fillcolor="#a0a0a0" stroked="f"/>
        </w:pict>
      </w:r>
    </w:p>
    <w:p w14:paraId="17AD0B96" w14:textId="77777777" w:rsidR="002A51FF" w:rsidRPr="002A51FF" w:rsidRDefault="002A51FF" w:rsidP="002A51FF">
      <w:pPr>
        <w:rPr>
          <w:b/>
          <w:bCs/>
        </w:rPr>
      </w:pPr>
      <w:r w:rsidRPr="002A51FF">
        <w:rPr>
          <w:b/>
          <w:bCs/>
        </w:rPr>
        <w:lastRenderedPageBreak/>
        <w:t>2. Overall model architecture</w:t>
      </w:r>
    </w:p>
    <w:p w14:paraId="64A24265" w14:textId="77777777" w:rsidR="002A51FF" w:rsidRPr="002A51FF" w:rsidRDefault="002A51FF" w:rsidP="002A51FF">
      <w:pPr>
        <w:rPr>
          <w:b/>
          <w:bCs/>
        </w:rPr>
      </w:pPr>
      <w:r w:rsidRPr="002A51FF">
        <w:rPr>
          <w:b/>
          <w:bCs/>
        </w:rPr>
        <w:t>A. ABM: mineral supply-chain and circular economy engine</w:t>
      </w:r>
    </w:p>
    <w:p w14:paraId="3FDA12C7" w14:textId="77777777" w:rsidR="002A51FF" w:rsidRPr="002A51FF" w:rsidRDefault="002A51FF" w:rsidP="002A51FF">
      <w:r w:rsidRPr="002A51FF">
        <w:t>The ABM should represent the actors and decisions in Northern Ireland’s minerals system. Core agents would include:</w:t>
      </w:r>
    </w:p>
    <w:p w14:paraId="2C0F4053" w14:textId="77777777" w:rsidR="002A51FF" w:rsidRPr="002A51FF" w:rsidRDefault="002A51FF" w:rsidP="002A51FF">
      <w:r w:rsidRPr="002A51FF">
        <w:rPr>
          <w:b/>
          <w:bCs/>
        </w:rPr>
        <w:t>Exploration and mining firms</w:t>
      </w:r>
      <w:r w:rsidRPr="002A51FF">
        <w:t xml:space="preserve"> deciding whether to invest, explore, develop, pause or abandon projects based on prices, permitting timelines, finance availability, ESG requirements and community acceptance.</w:t>
      </w:r>
    </w:p>
    <w:p w14:paraId="6023766F" w14:textId="77777777" w:rsidR="002A51FF" w:rsidRPr="002A51FF" w:rsidRDefault="002A51FF" w:rsidP="002A51FF">
      <w:r w:rsidRPr="002A51FF">
        <w:rPr>
          <w:b/>
          <w:bCs/>
        </w:rPr>
        <w:t>Processors, refiners and recyclers</w:t>
      </w:r>
      <w:r w:rsidRPr="002A51FF">
        <w:t xml:space="preserve"> deciding whether to invest in capacity for material recovery, separation, refining and secondary-material production.</w:t>
      </w:r>
    </w:p>
    <w:p w14:paraId="4B8368B3" w14:textId="77777777" w:rsidR="002A51FF" w:rsidRPr="002A51FF" w:rsidRDefault="002A51FF" w:rsidP="002A51FF">
      <w:r w:rsidRPr="002A51FF">
        <w:rPr>
          <w:b/>
          <w:bCs/>
        </w:rPr>
        <w:t>Manufacturers and downstream users</w:t>
      </w:r>
      <w:r w:rsidRPr="002A51FF">
        <w:t xml:space="preserve"> in advanced manufacturing, renewables, aerospace, electronics, defence, construction and life sciences deciding whether to use primary, imported or secondary materials.</w:t>
      </w:r>
    </w:p>
    <w:p w14:paraId="0B5475D8" w14:textId="77777777" w:rsidR="002A51FF" w:rsidRPr="002A51FF" w:rsidRDefault="002A51FF" w:rsidP="002A51FF">
      <w:r w:rsidRPr="002A51FF">
        <w:rPr>
          <w:b/>
          <w:bCs/>
        </w:rPr>
        <w:t>Waste collectors, councils and WEEE/battery/product stewardship schemes</w:t>
      </w:r>
      <w:r w:rsidRPr="002A51FF">
        <w:t xml:space="preserve"> deciding collection routes, sorting, storage, contracts and recovery pathways.</w:t>
      </w:r>
    </w:p>
    <w:p w14:paraId="423998A4" w14:textId="77777777" w:rsidR="002A51FF" w:rsidRPr="002A51FF" w:rsidRDefault="002A51FF" w:rsidP="002A51FF">
      <w:r w:rsidRPr="002A51FF">
        <w:rPr>
          <w:b/>
          <w:bCs/>
        </w:rPr>
        <w:t>Households and businesses</w:t>
      </w:r>
      <w:r w:rsidRPr="002A51FF">
        <w:t xml:space="preserve"> generating end-of-life products such as electronics, batteries, motors, magnets, vehicles and industrial equipment.</w:t>
      </w:r>
    </w:p>
    <w:p w14:paraId="36A195C2" w14:textId="77777777" w:rsidR="002A51FF" w:rsidRPr="002A51FF" w:rsidRDefault="002A51FF" w:rsidP="002A51FF">
      <w:r w:rsidRPr="002A51FF">
        <w:rPr>
          <w:b/>
          <w:bCs/>
        </w:rPr>
        <w:t>Regulators and government bodies</w:t>
      </w:r>
      <w:r w:rsidRPr="002A51FF">
        <w:t xml:space="preserve"> setting permitting rules, circular economy policy, innovation grants, procurement standards, recycling targets, skills programmes and ESG requirements.</w:t>
      </w:r>
    </w:p>
    <w:p w14:paraId="6FFB0692" w14:textId="77777777" w:rsidR="002A51FF" w:rsidRPr="002A51FF" w:rsidRDefault="002A51FF" w:rsidP="002A51FF">
      <w:r w:rsidRPr="002A51FF">
        <w:rPr>
          <w:b/>
          <w:bCs/>
        </w:rPr>
        <w:t>Communities and local labour markets</w:t>
      </w:r>
      <w:r w:rsidRPr="002A51FF">
        <w:t xml:space="preserve"> influencing social licence, planning risk, labour availability, commuting and local employment retention.</w:t>
      </w:r>
    </w:p>
    <w:p w14:paraId="0C37F9BE" w14:textId="77777777" w:rsidR="002A51FF" w:rsidRPr="002A51FF" w:rsidRDefault="002A51FF" w:rsidP="002A51FF">
      <w:r w:rsidRPr="002A51FF">
        <w:t xml:space="preserve">The ABM should track material flows by mineral and product group, especially: </w:t>
      </w:r>
      <w:r w:rsidRPr="002A51FF">
        <w:rPr>
          <w:b/>
          <w:bCs/>
        </w:rPr>
        <w:t>REEs/permanent magnets, lithium, cobalt, nickel, copper, aluminium/bauxite/gallium, antimony, zinc, indium, PGMs, baryte and salt</w:t>
      </w:r>
      <w:r w:rsidRPr="002A51FF">
        <w:t xml:space="preserve">. The </w:t>
      </w:r>
      <w:proofErr w:type="spellStart"/>
      <w:r w:rsidRPr="002A51FF">
        <w:t>Minviro</w:t>
      </w:r>
      <w:proofErr w:type="spellEnd"/>
      <w:r w:rsidRPr="002A51FF">
        <w:t xml:space="preserve"> report identifies Northern Ireland potential across several of these minerals and discusses uncertainty by commodity. </w:t>
      </w:r>
    </w:p>
    <w:p w14:paraId="5A74944F" w14:textId="77777777" w:rsidR="002A51FF" w:rsidRPr="002A51FF" w:rsidRDefault="002A51FF" w:rsidP="002A51FF">
      <w:pPr>
        <w:rPr>
          <w:b/>
          <w:bCs/>
        </w:rPr>
      </w:pPr>
      <w:r w:rsidRPr="002A51FF">
        <w:rPr>
          <w:b/>
          <w:bCs/>
        </w:rPr>
        <w:t>B. Dynamic Input-Output model: impact accounting layer</w:t>
      </w:r>
    </w:p>
    <w:p w14:paraId="456A93EF" w14:textId="77777777" w:rsidR="002A51FF" w:rsidRPr="002A51FF" w:rsidRDefault="002A51FF" w:rsidP="002A51FF">
      <w:r w:rsidRPr="002A51FF">
        <w:t xml:space="preserve">The dynamic I-O module should extend </w:t>
      </w:r>
      <w:proofErr w:type="spellStart"/>
      <w:r w:rsidRPr="002A51FF">
        <w:t>Minviro’s</w:t>
      </w:r>
      <w:proofErr w:type="spellEnd"/>
      <w:r w:rsidRPr="002A51FF">
        <w:t xml:space="preserve"> approach using updated Northern Ireland I-O tables. NISRA’s analytical input-output tables are designed to analyse interdependence between industries and produce multipliers for impact analysis. </w:t>
      </w:r>
    </w:p>
    <w:p w14:paraId="24BA0D9E" w14:textId="77777777" w:rsidR="002A51FF" w:rsidRPr="002A51FF" w:rsidRDefault="002A51FF" w:rsidP="002A51FF">
      <w:r w:rsidRPr="002A51FF">
        <w:t>This layer estimates annual:</w:t>
      </w:r>
    </w:p>
    <w:p w14:paraId="10A93F6B" w14:textId="77777777" w:rsidR="002A51FF" w:rsidRPr="002A51FF" w:rsidRDefault="002A51FF" w:rsidP="002A51FF">
      <w:r w:rsidRPr="002A51FF">
        <w:t>GVA, output, employment, wages, tax proxy, direct/indirect/induced effects, local procurement effects, sectoral spillovers, CO₂, particulate matter, energy use and waste.</w:t>
      </w:r>
    </w:p>
    <w:p w14:paraId="47F29741" w14:textId="77777777" w:rsidR="002A51FF" w:rsidRPr="002A51FF" w:rsidRDefault="002A51FF" w:rsidP="002A51FF">
      <w:r w:rsidRPr="002A51FF">
        <w:lastRenderedPageBreak/>
        <w:t xml:space="preserve">Unlike the </w:t>
      </w:r>
      <w:proofErr w:type="spellStart"/>
      <w:r w:rsidRPr="002A51FF">
        <w:t>Minviro</w:t>
      </w:r>
      <w:proofErr w:type="spellEnd"/>
      <w:r w:rsidRPr="002A51FF">
        <w:t xml:space="preserve"> static scenario approach, the coefficients should evolve over time based on:</w:t>
      </w:r>
    </w:p>
    <w:p w14:paraId="40A178F9" w14:textId="77777777" w:rsidR="002A51FF" w:rsidRPr="002A51FF" w:rsidRDefault="002A51FF" w:rsidP="002A51FF">
      <w:r w:rsidRPr="002A51FF">
        <w:t>recycling substitution, changing import shares, energy transition, productivity, local supplier development, technology adoption and sectoral demand growth.</w:t>
      </w:r>
    </w:p>
    <w:p w14:paraId="0DAAB291" w14:textId="77777777" w:rsidR="002A51FF" w:rsidRPr="002A51FF" w:rsidRDefault="002A51FF" w:rsidP="002A51FF">
      <w:pPr>
        <w:rPr>
          <w:b/>
          <w:bCs/>
        </w:rPr>
      </w:pPr>
      <w:r w:rsidRPr="002A51FF">
        <w:rPr>
          <w:b/>
          <w:bCs/>
        </w:rPr>
        <w:t>C. CGE model: economy-wide adjustment layer</w:t>
      </w:r>
    </w:p>
    <w:p w14:paraId="68910A70" w14:textId="77777777" w:rsidR="002A51FF" w:rsidRPr="002A51FF" w:rsidRDefault="002A51FF" w:rsidP="002A51FF">
      <w:r w:rsidRPr="002A51FF">
        <w:t>The CGE model should answer questions that I-O cannot handle well: price changes, wage pressure, crowding-out, trade substitution, energy constraints, public finance effects and welfare impacts.</w:t>
      </w:r>
    </w:p>
    <w:p w14:paraId="1F4A5982" w14:textId="77777777" w:rsidR="002A51FF" w:rsidRPr="002A51FF" w:rsidRDefault="002A51FF" w:rsidP="002A51FF">
      <w:r w:rsidRPr="002A51FF">
        <w:t>It should include:</w:t>
      </w:r>
    </w:p>
    <w:p w14:paraId="02589C82" w14:textId="77777777" w:rsidR="002A51FF" w:rsidRPr="002A51FF" w:rsidRDefault="002A51FF" w:rsidP="002A51FF">
      <w:r w:rsidRPr="002A51FF">
        <w:t>households, government, firms, capital, labour, energy, imports, exports, mining, recycling, manufacturing, services, agriculture, tourism and construction.</w:t>
      </w:r>
    </w:p>
    <w:p w14:paraId="1C78D742" w14:textId="77777777" w:rsidR="002A51FF" w:rsidRPr="002A51FF" w:rsidRDefault="002A51FF" w:rsidP="002A51FF">
      <w:r w:rsidRPr="002A51FF">
        <w:t>Key features should include:</w:t>
      </w:r>
    </w:p>
    <w:p w14:paraId="62E6C303" w14:textId="77777777" w:rsidR="002A51FF" w:rsidRPr="002A51FF" w:rsidRDefault="002A51FF" w:rsidP="002A51FF">
      <w:r w:rsidRPr="002A51FF">
        <w:t>Armington import substitution, primary versus secondary mineral substitution, skilled/unskilled labour constraints, energy price sensitivity, public investment constraints, tax/revenue effects, and trade links with Great Britain, Ireland, the EU and rest of world.</w:t>
      </w:r>
    </w:p>
    <w:p w14:paraId="49D4383C" w14:textId="77777777" w:rsidR="002A51FF" w:rsidRPr="002A51FF" w:rsidRDefault="002A51FF" w:rsidP="002A51FF">
      <w:r w:rsidRPr="002A51FF">
        <w:pict w14:anchorId="281C913E">
          <v:rect id="_x0000_i1075" style="width:0;height:1.5pt" o:hralign="center" o:hrstd="t" o:hr="t" fillcolor="#a0a0a0" stroked="f"/>
        </w:pict>
      </w:r>
    </w:p>
    <w:p w14:paraId="6D7E3015" w14:textId="77777777" w:rsidR="002A51FF" w:rsidRPr="002A51FF" w:rsidRDefault="002A51FF" w:rsidP="002A51FF">
      <w:pPr>
        <w:rPr>
          <w:b/>
          <w:bCs/>
        </w:rPr>
      </w:pPr>
      <w:r w:rsidRPr="002A51FF">
        <w:rPr>
          <w:b/>
          <w:bCs/>
        </w:rPr>
        <w:t>3. How the three models should interact</w:t>
      </w:r>
    </w:p>
    <w:p w14:paraId="1D07911D" w14:textId="77777777" w:rsidR="002A51FF" w:rsidRPr="002A51FF" w:rsidRDefault="002A51FF" w:rsidP="002A51FF">
      <w:r w:rsidRPr="002A51FF">
        <w:t xml:space="preserve">The most practical coupling is iterative, annual and </w:t>
      </w:r>
      <w:proofErr w:type="gramStart"/>
      <w:r w:rsidRPr="002A51FF">
        <w:t>scenario-based</w:t>
      </w:r>
      <w:proofErr w:type="gramEnd"/>
      <w:r w:rsidRPr="002A51FF">
        <w:t>.</w:t>
      </w:r>
    </w:p>
    <w:p w14:paraId="4656C633" w14:textId="77777777" w:rsidR="002A51FF" w:rsidRPr="002A51FF" w:rsidRDefault="002A51FF" w:rsidP="002A51FF">
      <w:pPr>
        <w:numPr>
          <w:ilvl w:val="0"/>
          <w:numId w:val="1"/>
        </w:numPr>
      </w:pPr>
      <w:r w:rsidRPr="002A51FF">
        <w:rPr>
          <w:b/>
          <w:bCs/>
        </w:rPr>
        <w:t>ABM generates annual supply-chain outcomes</w:t>
      </w:r>
      <w:r w:rsidRPr="002A51FF">
        <w:t xml:space="preserve">: mine openings, recycling capacity, collection rates, recovery yields, secondary material prices, local procurement shares, skills bottlenecks, community delays and material flows. </w:t>
      </w:r>
    </w:p>
    <w:p w14:paraId="09FE6301" w14:textId="77777777" w:rsidR="002A51FF" w:rsidRPr="002A51FF" w:rsidRDefault="002A51FF" w:rsidP="002A51FF">
      <w:pPr>
        <w:numPr>
          <w:ilvl w:val="0"/>
          <w:numId w:val="1"/>
        </w:numPr>
      </w:pPr>
      <w:r w:rsidRPr="002A51FF">
        <w:rPr>
          <w:b/>
          <w:bCs/>
        </w:rPr>
        <w:t>Dynamic I-O translates those outcomes into short-run impacts</w:t>
      </w:r>
      <w:r w:rsidRPr="002A51FF">
        <w:t xml:space="preserve">: GVA, jobs, sector multipliers, emissions and induced demand. </w:t>
      </w:r>
    </w:p>
    <w:p w14:paraId="7F28D3FC" w14:textId="77777777" w:rsidR="002A51FF" w:rsidRPr="002A51FF" w:rsidRDefault="002A51FF" w:rsidP="002A51FF">
      <w:pPr>
        <w:numPr>
          <w:ilvl w:val="0"/>
          <w:numId w:val="1"/>
        </w:numPr>
      </w:pPr>
      <w:r w:rsidRPr="002A51FF">
        <w:rPr>
          <w:b/>
          <w:bCs/>
        </w:rPr>
        <w:t>CGE then adjusts the wider economy</w:t>
      </w:r>
      <w:r w:rsidRPr="002A51FF">
        <w:t xml:space="preserve">: prices, wages, imports, exports, substitution, energy costs, public budgets and welfare. </w:t>
      </w:r>
    </w:p>
    <w:p w14:paraId="5C595458" w14:textId="77777777" w:rsidR="002A51FF" w:rsidRPr="002A51FF" w:rsidRDefault="002A51FF" w:rsidP="002A51FF">
      <w:pPr>
        <w:numPr>
          <w:ilvl w:val="0"/>
          <w:numId w:val="1"/>
        </w:numPr>
      </w:pPr>
      <w:r w:rsidRPr="002A51FF">
        <w:rPr>
          <w:b/>
          <w:bCs/>
        </w:rPr>
        <w:t>CGE feedback returns to the ABM</w:t>
      </w:r>
      <w:r w:rsidRPr="002A51FF">
        <w:t xml:space="preserve">: higher wages may worsen mining labour shortages; higher mineral prices may trigger investment; higher energy costs may reduce recycling viability; policy subsidies may increase technology adoption. </w:t>
      </w:r>
    </w:p>
    <w:p w14:paraId="6A05A017" w14:textId="77777777" w:rsidR="002A51FF" w:rsidRPr="002A51FF" w:rsidRDefault="002A51FF" w:rsidP="002A51FF">
      <w:r w:rsidRPr="002A51FF">
        <w:t xml:space="preserve">This gives a model that is not just a multiplier exercise, but a </w:t>
      </w:r>
      <w:r w:rsidRPr="002A51FF">
        <w:rPr>
          <w:b/>
          <w:bCs/>
        </w:rPr>
        <w:t>policy simulator</w:t>
      </w:r>
      <w:r w:rsidRPr="002A51FF">
        <w:t>.</w:t>
      </w:r>
    </w:p>
    <w:p w14:paraId="74DB7050" w14:textId="77777777" w:rsidR="002A51FF" w:rsidRPr="002A51FF" w:rsidRDefault="002A51FF" w:rsidP="002A51FF">
      <w:r w:rsidRPr="002A51FF">
        <w:pict w14:anchorId="6AFCB3EA">
          <v:rect id="_x0000_i1076" style="width:0;height:1.5pt" o:hralign="center" o:hrstd="t" o:hr="t" fillcolor="#a0a0a0" stroked="f"/>
        </w:pict>
      </w:r>
    </w:p>
    <w:p w14:paraId="2170A4BA" w14:textId="77777777" w:rsidR="002A51FF" w:rsidRPr="002A51FF" w:rsidRDefault="002A51FF" w:rsidP="002A51FF">
      <w:pPr>
        <w:rPr>
          <w:b/>
          <w:bCs/>
        </w:rPr>
      </w:pPr>
      <w:r w:rsidRPr="002A51FF">
        <w:rPr>
          <w:b/>
          <w:bCs/>
        </w:rPr>
        <w:t>4. Core scenarios to test</w:t>
      </w:r>
    </w:p>
    <w:p w14:paraId="796C2A31" w14:textId="77777777" w:rsidR="002A51FF" w:rsidRPr="002A51FF" w:rsidRDefault="002A51FF" w:rsidP="002A51FF">
      <w:r w:rsidRPr="002A51FF">
        <w:lastRenderedPageBreak/>
        <w:t>The model should compare at least six scenario families.</w:t>
      </w:r>
    </w:p>
    <w:p w14:paraId="459B8399" w14:textId="77777777" w:rsidR="002A51FF" w:rsidRPr="002A51FF" w:rsidRDefault="002A51FF" w:rsidP="002A51FF">
      <w:r w:rsidRPr="002A51FF">
        <w:rPr>
          <w:b/>
          <w:bCs/>
        </w:rPr>
        <w:t>Baseline</w:t>
      </w:r>
      <w:r w:rsidRPr="002A51FF">
        <w:t>: no major policy change; current exploration, current recycling, existing supply-chain capacity.</w:t>
      </w:r>
    </w:p>
    <w:p w14:paraId="7A1470B3" w14:textId="77777777" w:rsidR="002A51FF" w:rsidRPr="002A51FF" w:rsidRDefault="002A51FF" w:rsidP="002A51FF">
      <w:r w:rsidRPr="002A51FF">
        <w:rPr>
          <w:b/>
          <w:bCs/>
        </w:rPr>
        <w:t>Circular innovation scenario</w:t>
      </w:r>
      <w:r w:rsidRPr="002A51FF">
        <w:t>: grants, R&amp;D, improved collection, digital product passports, secondary materials marketplace, design-for-disassembly standards, public procurement for recycled content.</w:t>
      </w:r>
    </w:p>
    <w:p w14:paraId="7D348759" w14:textId="77777777" w:rsidR="002A51FF" w:rsidRPr="002A51FF" w:rsidRDefault="002A51FF" w:rsidP="002A51FF">
      <w:r w:rsidRPr="002A51FF">
        <w:rPr>
          <w:b/>
          <w:bCs/>
        </w:rPr>
        <w:t>Primary extraction scenario</w:t>
      </w:r>
      <w:r w:rsidRPr="002A51FF">
        <w:t xml:space="preserve">: moderate and significant development, based on </w:t>
      </w:r>
      <w:proofErr w:type="spellStart"/>
      <w:r w:rsidRPr="002A51FF">
        <w:t>Minviro</w:t>
      </w:r>
      <w:proofErr w:type="spellEnd"/>
      <w:r w:rsidRPr="002A51FF">
        <w:t>-style exploration-to-mine timelines.</w:t>
      </w:r>
    </w:p>
    <w:p w14:paraId="63395924" w14:textId="77777777" w:rsidR="002A51FF" w:rsidRPr="002A51FF" w:rsidRDefault="002A51FF" w:rsidP="002A51FF">
      <w:r w:rsidRPr="002A51FF">
        <w:rPr>
          <w:b/>
          <w:bCs/>
        </w:rPr>
        <w:t>Integrated circular + primary scenario</w:t>
      </w:r>
      <w:r w:rsidRPr="002A51FF">
        <w:t>: mining, recovery and manufacturing are developed together, with local procurement and ESG conditions.</w:t>
      </w:r>
    </w:p>
    <w:p w14:paraId="2A1DA501" w14:textId="77777777" w:rsidR="002A51FF" w:rsidRPr="002A51FF" w:rsidRDefault="002A51FF" w:rsidP="002A51FF">
      <w:r w:rsidRPr="002A51FF">
        <w:rPr>
          <w:b/>
          <w:bCs/>
        </w:rPr>
        <w:t>Supply shock scenario</w:t>
      </w:r>
      <w:r w:rsidRPr="002A51FF">
        <w:t>: global disruption in lithium, REEs, cobalt, nickel or copper; import price spikes; export restrictions; shipping or geopolitical shock.</w:t>
      </w:r>
    </w:p>
    <w:p w14:paraId="4E4FD28E" w14:textId="77777777" w:rsidR="002A51FF" w:rsidRPr="002A51FF" w:rsidRDefault="002A51FF" w:rsidP="002A51FF">
      <w:r w:rsidRPr="002A51FF">
        <w:rPr>
          <w:b/>
          <w:bCs/>
        </w:rPr>
        <w:t>High-ESG / low-impact scenario</w:t>
      </w:r>
      <w:r w:rsidRPr="002A51FF">
        <w:t>: stricter water, biodiversity, carbon, closure and community benefit requirements; higher compliance costs but lower environmental and social risk.</w:t>
      </w:r>
    </w:p>
    <w:p w14:paraId="674D7E74" w14:textId="77777777" w:rsidR="002A51FF" w:rsidRPr="002A51FF" w:rsidRDefault="002A51FF" w:rsidP="002A51FF">
      <w:r w:rsidRPr="002A51FF">
        <w:pict w14:anchorId="7B8F0147">
          <v:rect id="_x0000_i1077" style="width:0;height:1.5pt" o:hralign="center" o:hrstd="t" o:hr="t" fillcolor="#a0a0a0" stroked="f"/>
        </w:pict>
      </w:r>
    </w:p>
    <w:p w14:paraId="22F9256C" w14:textId="77777777" w:rsidR="002A51FF" w:rsidRPr="002A51FF" w:rsidRDefault="002A51FF" w:rsidP="002A51FF">
      <w:pPr>
        <w:rPr>
          <w:b/>
          <w:bCs/>
        </w:rPr>
      </w:pPr>
      <w:r w:rsidRPr="002A51FF">
        <w:rPr>
          <w:b/>
          <w:bCs/>
        </w:rPr>
        <w:t>5. Model outputs mapped to the seven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6662"/>
      </w:tblGrid>
      <w:tr w:rsidR="002A51FF" w:rsidRPr="002A51FF" w14:paraId="0C778D6A" w14:textId="77777777">
        <w:trPr>
          <w:tblHeader/>
          <w:tblCellSpacing w:w="15" w:type="dxa"/>
        </w:trPr>
        <w:tc>
          <w:tcPr>
            <w:tcW w:w="0" w:type="auto"/>
            <w:vAlign w:val="center"/>
            <w:hideMark/>
          </w:tcPr>
          <w:p w14:paraId="4B1D6EAF" w14:textId="77777777" w:rsidR="002A51FF" w:rsidRPr="002A51FF" w:rsidRDefault="002A51FF" w:rsidP="002A51FF">
            <w:pPr>
              <w:rPr>
                <w:b/>
                <w:bCs/>
              </w:rPr>
            </w:pPr>
            <w:r w:rsidRPr="002A51FF">
              <w:rPr>
                <w:b/>
                <w:bCs/>
              </w:rPr>
              <w:t>Question</w:t>
            </w:r>
          </w:p>
        </w:tc>
        <w:tc>
          <w:tcPr>
            <w:tcW w:w="0" w:type="auto"/>
            <w:vAlign w:val="center"/>
            <w:hideMark/>
          </w:tcPr>
          <w:p w14:paraId="432C103B" w14:textId="77777777" w:rsidR="002A51FF" w:rsidRPr="002A51FF" w:rsidRDefault="002A51FF" w:rsidP="002A51FF">
            <w:pPr>
              <w:rPr>
                <w:b/>
                <w:bCs/>
              </w:rPr>
            </w:pPr>
            <w:r w:rsidRPr="002A51FF">
              <w:rPr>
                <w:b/>
                <w:bCs/>
              </w:rPr>
              <w:t>What the model should produce</w:t>
            </w:r>
          </w:p>
        </w:tc>
      </w:tr>
      <w:tr w:rsidR="002A51FF" w:rsidRPr="002A51FF" w14:paraId="5C7E32D0" w14:textId="77777777">
        <w:trPr>
          <w:tblCellSpacing w:w="15" w:type="dxa"/>
        </w:trPr>
        <w:tc>
          <w:tcPr>
            <w:tcW w:w="0" w:type="auto"/>
            <w:vAlign w:val="center"/>
            <w:hideMark/>
          </w:tcPr>
          <w:p w14:paraId="6178D726" w14:textId="77777777" w:rsidR="002A51FF" w:rsidRPr="002A51FF" w:rsidRDefault="002A51FF" w:rsidP="002A51FF">
            <w:r w:rsidRPr="002A51FF">
              <w:rPr>
                <w:b/>
                <w:bCs/>
              </w:rPr>
              <w:t>2.1 Innovation for circularity</w:t>
            </w:r>
          </w:p>
        </w:tc>
        <w:tc>
          <w:tcPr>
            <w:tcW w:w="0" w:type="auto"/>
            <w:vAlign w:val="center"/>
            <w:hideMark/>
          </w:tcPr>
          <w:p w14:paraId="73E2BD1F" w14:textId="77777777" w:rsidR="002A51FF" w:rsidRPr="002A51FF" w:rsidRDefault="002A51FF" w:rsidP="002A51FF">
            <w:r w:rsidRPr="002A51FF">
              <w:t>Recovery rates, secondary material volumes, recycling GVA/jobs, innovation ROI, best policy mix for grants, standards, procurement and collection infrastructure.</w:t>
            </w:r>
          </w:p>
        </w:tc>
      </w:tr>
      <w:tr w:rsidR="002A51FF" w:rsidRPr="002A51FF" w14:paraId="2D93F509" w14:textId="77777777">
        <w:trPr>
          <w:tblCellSpacing w:w="15" w:type="dxa"/>
        </w:trPr>
        <w:tc>
          <w:tcPr>
            <w:tcW w:w="0" w:type="auto"/>
            <w:vAlign w:val="center"/>
            <w:hideMark/>
          </w:tcPr>
          <w:p w14:paraId="70704CC5" w14:textId="77777777" w:rsidR="002A51FF" w:rsidRPr="002A51FF" w:rsidRDefault="002A51FF" w:rsidP="002A51FF">
            <w:r w:rsidRPr="002A51FF">
              <w:rPr>
                <w:b/>
                <w:bCs/>
              </w:rPr>
              <w:t>2.2 Opportunities and challenges</w:t>
            </w:r>
          </w:p>
        </w:tc>
        <w:tc>
          <w:tcPr>
            <w:tcW w:w="0" w:type="auto"/>
            <w:vAlign w:val="center"/>
            <w:hideMark/>
          </w:tcPr>
          <w:p w14:paraId="1F3E2165" w14:textId="77777777" w:rsidR="002A51FF" w:rsidRPr="002A51FF" w:rsidRDefault="002A51FF" w:rsidP="002A51FF">
            <w:r w:rsidRPr="002A51FF">
              <w:t>Mineral-by-mineral opportunity ranking; constraints from geology, finance, skills, energy, permitting, water, biodiversity and community acceptance.</w:t>
            </w:r>
          </w:p>
        </w:tc>
      </w:tr>
      <w:tr w:rsidR="002A51FF" w:rsidRPr="002A51FF" w14:paraId="1A388F18" w14:textId="77777777">
        <w:trPr>
          <w:tblCellSpacing w:w="15" w:type="dxa"/>
        </w:trPr>
        <w:tc>
          <w:tcPr>
            <w:tcW w:w="0" w:type="auto"/>
            <w:vAlign w:val="center"/>
            <w:hideMark/>
          </w:tcPr>
          <w:p w14:paraId="202C2FD7" w14:textId="77777777" w:rsidR="002A51FF" w:rsidRPr="002A51FF" w:rsidRDefault="002A51FF" w:rsidP="002A51FF">
            <w:r w:rsidRPr="002A51FF">
              <w:rPr>
                <w:b/>
                <w:bCs/>
              </w:rPr>
              <w:t>2.3 Business support</w:t>
            </w:r>
          </w:p>
        </w:tc>
        <w:tc>
          <w:tcPr>
            <w:tcW w:w="0" w:type="auto"/>
            <w:vAlign w:val="center"/>
            <w:hideMark/>
          </w:tcPr>
          <w:p w14:paraId="5A340F37" w14:textId="77777777" w:rsidR="002A51FF" w:rsidRPr="002A51FF" w:rsidRDefault="002A51FF" w:rsidP="002A51FF">
            <w:r w:rsidRPr="002A51FF">
              <w:t>Which firms need finance, skills, data, permits, offtake contracts, export support, recycling infrastructure or supplier-development support.</w:t>
            </w:r>
          </w:p>
        </w:tc>
      </w:tr>
      <w:tr w:rsidR="002A51FF" w:rsidRPr="002A51FF" w14:paraId="04CFDD43" w14:textId="77777777">
        <w:trPr>
          <w:tblCellSpacing w:w="15" w:type="dxa"/>
        </w:trPr>
        <w:tc>
          <w:tcPr>
            <w:tcW w:w="0" w:type="auto"/>
            <w:vAlign w:val="center"/>
            <w:hideMark/>
          </w:tcPr>
          <w:p w14:paraId="06D64498" w14:textId="77777777" w:rsidR="002A51FF" w:rsidRPr="002A51FF" w:rsidRDefault="002A51FF" w:rsidP="002A51FF">
            <w:r w:rsidRPr="002A51FF">
              <w:rPr>
                <w:b/>
                <w:bCs/>
              </w:rPr>
              <w:t>2.4 Secure supply role</w:t>
            </w:r>
          </w:p>
        </w:tc>
        <w:tc>
          <w:tcPr>
            <w:tcW w:w="0" w:type="auto"/>
            <w:vAlign w:val="center"/>
            <w:hideMark/>
          </w:tcPr>
          <w:p w14:paraId="65122986" w14:textId="77777777" w:rsidR="002A51FF" w:rsidRPr="002A51FF" w:rsidRDefault="002A51FF" w:rsidP="002A51FF">
            <w:r w:rsidRPr="002A51FF">
              <w:t>Domestic primary share, recycling share, import dependency, supply concentration, HHI risk index, stock-flow resilience and strategic intervention points.</w:t>
            </w:r>
          </w:p>
        </w:tc>
      </w:tr>
      <w:tr w:rsidR="002A51FF" w:rsidRPr="002A51FF" w14:paraId="0ADBFF90" w14:textId="77777777">
        <w:trPr>
          <w:tblCellSpacing w:w="15" w:type="dxa"/>
        </w:trPr>
        <w:tc>
          <w:tcPr>
            <w:tcW w:w="0" w:type="auto"/>
            <w:vAlign w:val="center"/>
            <w:hideMark/>
          </w:tcPr>
          <w:p w14:paraId="3568162D" w14:textId="77777777" w:rsidR="002A51FF" w:rsidRPr="002A51FF" w:rsidRDefault="002A51FF" w:rsidP="002A51FF">
            <w:r w:rsidRPr="002A51FF">
              <w:rPr>
                <w:b/>
                <w:bCs/>
              </w:rPr>
              <w:lastRenderedPageBreak/>
              <w:t>2.5 Employment and regional growth</w:t>
            </w:r>
          </w:p>
        </w:tc>
        <w:tc>
          <w:tcPr>
            <w:tcW w:w="0" w:type="auto"/>
            <w:vAlign w:val="center"/>
            <w:hideMark/>
          </w:tcPr>
          <w:p w14:paraId="75279715" w14:textId="77777777" w:rsidR="002A51FF" w:rsidRPr="002A51FF" w:rsidRDefault="002A51FF" w:rsidP="002A51FF">
            <w:r w:rsidRPr="002A51FF">
              <w:t>Jobs by council area, occupation, skill level, wage band, retained local employment, training needs and supplier opportunities.</w:t>
            </w:r>
          </w:p>
        </w:tc>
      </w:tr>
      <w:tr w:rsidR="002A51FF" w:rsidRPr="002A51FF" w14:paraId="3D2A2818" w14:textId="77777777">
        <w:trPr>
          <w:tblCellSpacing w:w="15" w:type="dxa"/>
        </w:trPr>
        <w:tc>
          <w:tcPr>
            <w:tcW w:w="0" w:type="auto"/>
            <w:vAlign w:val="center"/>
            <w:hideMark/>
          </w:tcPr>
          <w:p w14:paraId="34E7DF66" w14:textId="77777777" w:rsidR="002A51FF" w:rsidRPr="002A51FF" w:rsidRDefault="002A51FF" w:rsidP="002A51FF">
            <w:r w:rsidRPr="002A51FF">
              <w:rPr>
                <w:b/>
                <w:bCs/>
              </w:rPr>
              <w:t>2.6 Economic benefits</w:t>
            </w:r>
          </w:p>
        </w:tc>
        <w:tc>
          <w:tcPr>
            <w:tcW w:w="0" w:type="auto"/>
            <w:vAlign w:val="center"/>
            <w:hideMark/>
          </w:tcPr>
          <w:p w14:paraId="3E722CB6" w14:textId="77777777" w:rsidR="002A51FF" w:rsidRPr="002A51FF" w:rsidRDefault="002A51FF" w:rsidP="002A51FF">
            <w:r w:rsidRPr="002A51FF">
              <w:t>GVA, output, tax proxy, exports, investment, productivity, manufacturing resilience and avoided import costs.</w:t>
            </w:r>
          </w:p>
        </w:tc>
      </w:tr>
      <w:tr w:rsidR="002A51FF" w:rsidRPr="002A51FF" w14:paraId="0B10F03D" w14:textId="77777777">
        <w:trPr>
          <w:tblCellSpacing w:w="15" w:type="dxa"/>
        </w:trPr>
        <w:tc>
          <w:tcPr>
            <w:tcW w:w="0" w:type="auto"/>
            <w:vAlign w:val="center"/>
            <w:hideMark/>
          </w:tcPr>
          <w:p w14:paraId="155102BA" w14:textId="77777777" w:rsidR="002A51FF" w:rsidRPr="002A51FF" w:rsidRDefault="002A51FF" w:rsidP="002A51FF">
            <w:r w:rsidRPr="002A51FF">
              <w:rPr>
                <w:b/>
                <w:bCs/>
              </w:rPr>
              <w:t>2.7 Negative impacts</w:t>
            </w:r>
          </w:p>
        </w:tc>
        <w:tc>
          <w:tcPr>
            <w:tcW w:w="0" w:type="auto"/>
            <w:vAlign w:val="center"/>
            <w:hideMark/>
          </w:tcPr>
          <w:p w14:paraId="5FE26386" w14:textId="77777777" w:rsidR="002A51FF" w:rsidRPr="002A51FF" w:rsidRDefault="002A51FF" w:rsidP="002A51FF">
            <w:r w:rsidRPr="002A51FF">
              <w:t>CO₂, particulates, water risk, land take, biodiversity risk, waste, traffic, agriculture/tourism displacement, wage inflation, boom-bust and public-sector costs.</w:t>
            </w:r>
          </w:p>
        </w:tc>
      </w:tr>
    </w:tbl>
    <w:p w14:paraId="23DCFE7F" w14:textId="77777777" w:rsidR="002A51FF" w:rsidRPr="002A51FF" w:rsidRDefault="002A51FF" w:rsidP="002A51FF">
      <w:r w:rsidRPr="002A51FF">
        <w:t xml:space="preserve">The </w:t>
      </w:r>
      <w:proofErr w:type="spellStart"/>
      <w:r w:rsidRPr="002A51FF">
        <w:t>Minviro</w:t>
      </w:r>
      <w:proofErr w:type="spellEnd"/>
      <w:r w:rsidRPr="002A51FF">
        <w:t xml:space="preserve"> Appendix is especially important for 2.7 because it stresses that mining impacts are site-specific and depend on receptors, design, operation and closure; it identifies key impact groups including land transformation, water, carbon, air quality, noise, hazards and socio-economic effects. </w:t>
      </w:r>
    </w:p>
    <w:p w14:paraId="701C19A9" w14:textId="77777777" w:rsidR="002A51FF" w:rsidRPr="002A51FF" w:rsidRDefault="002A51FF" w:rsidP="002A51FF">
      <w:r w:rsidRPr="002A51FF">
        <w:pict w14:anchorId="383108F0">
          <v:rect id="_x0000_i1078" style="width:0;height:1.5pt" o:hralign="center" o:hrstd="t" o:hr="t" fillcolor="#a0a0a0" stroked="f"/>
        </w:pict>
      </w:r>
    </w:p>
    <w:p w14:paraId="01116C33" w14:textId="77777777" w:rsidR="002A51FF" w:rsidRPr="002A51FF" w:rsidRDefault="002A51FF" w:rsidP="002A51FF">
      <w:pPr>
        <w:rPr>
          <w:b/>
          <w:bCs/>
        </w:rPr>
      </w:pPr>
      <w:r w:rsidRPr="002A51FF">
        <w:rPr>
          <w:b/>
          <w:bCs/>
        </w:rPr>
        <w:t>6. Data sources to build the model</w:t>
      </w:r>
    </w:p>
    <w:p w14:paraId="14708120" w14:textId="77777777" w:rsidR="002A51FF" w:rsidRPr="002A51FF" w:rsidRDefault="002A51FF" w:rsidP="002A51FF">
      <w:pPr>
        <w:rPr>
          <w:b/>
          <w:bCs/>
        </w:rPr>
      </w:pPr>
      <w:r w:rsidRPr="002A51FF">
        <w:rPr>
          <w:b/>
          <w:bCs/>
        </w:rPr>
        <w:t>Economic and I-O data</w:t>
      </w:r>
    </w:p>
    <w:p w14:paraId="3B165CA1" w14:textId="77777777" w:rsidR="002A51FF" w:rsidRPr="002A51FF" w:rsidRDefault="002A51FF" w:rsidP="002A51FF">
      <w:r w:rsidRPr="002A51FF">
        <w:t xml:space="preserve">Use </w:t>
      </w:r>
      <w:r w:rsidRPr="002A51FF">
        <w:rPr>
          <w:b/>
          <w:bCs/>
        </w:rPr>
        <w:t>NISRA analytical input-output tables</w:t>
      </w:r>
      <w:r w:rsidRPr="002A51FF">
        <w:t xml:space="preserve">, supply-use tables and multipliers as the core economic accounting base. Add ONS regional GVA, NISRA economic accounts, business demography, company accounts and HMRC regional trade data. HMRC regional trade statistics can support import/export exposure and commodity-flow assumptions; HMRC notes that NI-EU trade data uses Intrastat, while customs systems cover other flows. </w:t>
      </w:r>
    </w:p>
    <w:p w14:paraId="63EC4DB6" w14:textId="77777777" w:rsidR="002A51FF" w:rsidRPr="002A51FF" w:rsidRDefault="002A51FF" w:rsidP="002A51FF">
      <w:pPr>
        <w:rPr>
          <w:b/>
          <w:bCs/>
        </w:rPr>
      </w:pPr>
      <w:r w:rsidRPr="002A51FF">
        <w:rPr>
          <w:b/>
          <w:bCs/>
        </w:rPr>
        <w:t>Employment, skills and business data</w:t>
      </w:r>
    </w:p>
    <w:p w14:paraId="7B6E30B5" w14:textId="77777777" w:rsidR="002A51FF" w:rsidRPr="002A51FF" w:rsidRDefault="002A51FF" w:rsidP="002A51FF">
      <w:r w:rsidRPr="002A51FF">
        <w:t xml:space="preserve">Use NISRA’s </w:t>
      </w:r>
      <w:r w:rsidRPr="002A51FF">
        <w:rPr>
          <w:b/>
          <w:bCs/>
        </w:rPr>
        <w:t>Business Register and Employment Survey</w:t>
      </w:r>
      <w:r w:rsidRPr="002A51FF">
        <w:t xml:space="preserve"> for sectoral employment; NISRA reports 816,562 employee jobs in Northern Ireland in September 2023. Add ASHE earnings, Census skills/qualification data, further education and apprenticeship data, Invest NI business directories and company surveys of manufacturers/recyclers/mining suppliers.</w:t>
      </w:r>
    </w:p>
    <w:p w14:paraId="4D4F77AE" w14:textId="77777777" w:rsidR="002A51FF" w:rsidRPr="002A51FF" w:rsidRDefault="002A51FF" w:rsidP="002A51FF">
      <w:pPr>
        <w:rPr>
          <w:b/>
          <w:bCs/>
        </w:rPr>
      </w:pPr>
      <w:r w:rsidRPr="002A51FF">
        <w:rPr>
          <w:b/>
          <w:bCs/>
        </w:rPr>
        <w:t>Geology, mineral resources and licensing</w:t>
      </w:r>
    </w:p>
    <w:p w14:paraId="7CAF25A6" w14:textId="77777777" w:rsidR="002A51FF" w:rsidRPr="002A51FF" w:rsidRDefault="002A51FF" w:rsidP="002A51FF">
      <w:r w:rsidRPr="002A51FF">
        <w:t xml:space="preserve">Use </w:t>
      </w:r>
      <w:r w:rsidRPr="002A51FF">
        <w:rPr>
          <w:b/>
          <w:bCs/>
        </w:rPr>
        <w:t>GSNI Tellus</w:t>
      </w:r>
      <w:r w:rsidRPr="002A51FF">
        <w:t xml:space="preserve"> geochemical and geophysical data, which provides a consistent baseline for 55 elements and compounds and maps anomalies in gold, platinum group elements and base metals. Use GSNI mineral resource maps, which are intended to support strategic decision-making on mineral extraction and protection of mineral </w:t>
      </w:r>
      <w:r w:rsidRPr="002A51FF">
        <w:lastRenderedPageBreak/>
        <w:t xml:space="preserve">resources. Use DfE minerals licensing maps and licence data for current and potential exploration activity. </w:t>
      </w:r>
    </w:p>
    <w:p w14:paraId="66445088" w14:textId="77777777" w:rsidR="002A51FF" w:rsidRPr="002A51FF" w:rsidRDefault="002A51FF" w:rsidP="002A51FF">
      <w:pPr>
        <w:rPr>
          <w:b/>
          <w:bCs/>
        </w:rPr>
      </w:pPr>
      <w:r w:rsidRPr="002A51FF">
        <w:rPr>
          <w:b/>
          <w:bCs/>
        </w:rPr>
        <w:t>Circular economy and waste data</w:t>
      </w:r>
    </w:p>
    <w:p w14:paraId="65D25BBA" w14:textId="77777777" w:rsidR="002A51FF" w:rsidRPr="002A51FF" w:rsidRDefault="002A51FF" w:rsidP="002A51FF">
      <w:r w:rsidRPr="002A51FF">
        <w:t xml:space="preserve">Use DAERA local authority collected municipal waste statistics, which report waste arisings, dry recycling, composting, energy recovery and landfill. For WEEE, batteries, vehicles, magnets and industrial scrap, combine DAERA/NIEA data, Environment Agency producer responsibility data, recycler surveys, WEEE scheme data, battery compliance schemes, local authority contracts and industry interviews. The UK strategy notes that critical-mineral recycling is constrained by low availability of critical-mineral-rich waste streams, low collection rates and technical recovery challenges. </w:t>
      </w:r>
    </w:p>
    <w:p w14:paraId="5215E51B" w14:textId="77777777" w:rsidR="002A51FF" w:rsidRPr="002A51FF" w:rsidRDefault="002A51FF" w:rsidP="002A51FF">
      <w:pPr>
        <w:rPr>
          <w:b/>
          <w:bCs/>
        </w:rPr>
      </w:pPr>
      <w:r w:rsidRPr="002A51FF">
        <w:rPr>
          <w:b/>
          <w:bCs/>
        </w:rPr>
        <w:t>Demand and supply-chain resilience data</w:t>
      </w:r>
    </w:p>
    <w:p w14:paraId="2D032449" w14:textId="77777777" w:rsidR="002A51FF" w:rsidRPr="002A51FF" w:rsidRDefault="002A51FF" w:rsidP="002A51FF">
      <w:r w:rsidRPr="002A51FF">
        <w:t xml:space="preserve">Use </w:t>
      </w:r>
      <w:r w:rsidRPr="002A51FF">
        <w:rPr>
          <w:i/>
          <w:iCs/>
        </w:rPr>
        <w:t>Vision 2035</w:t>
      </w:r>
      <w:r w:rsidRPr="002A51FF">
        <w:t xml:space="preserve"> demand estimates, CMIC criticality assessments, UK Technology Metals Observatory data, Met4Tech roadmaps, ONS low-carbon economy statistics, Northern Ireland energy scenarios, EV uptake, wind deployment, grid investment and advanced manufacturing surveys. BGS states that the UK 2024 Criticality Assessment assessed 82 candidate materials and found 34 to be critical. </w:t>
      </w:r>
    </w:p>
    <w:p w14:paraId="6C93D870" w14:textId="77777777" w:rsidR="002A51FF" w:rsidRPr="002A51FF" w:rsidRDefault="002A51FF" w:rsidP="002A51FF">
      <w:pPr>
        <w:rPr>
          <w:b/>
          <w:bCs/>
        </w:rPr>
      </w:pPr>
      <w:r w:rsidRPr="002A51FF">
        <w:rPr>
          <w:b/>
          <w:bCs/>
        </w:rPr>
        <w:t>Environmental and spatial data</w:t>
      </w:r>
    </w:p>
    <w:p w14:paraId="7EE32B4F" w14:textId="77777777" w:rsidR="002A51FF" w:rsidRPr="002A51FF" w:rsidRDefault="002A51FF" w:rsidP="002A51FF">
      <w:r w:rsidRPr="002A51FF">
        <w:t xml:space="preserve">Use DAERA greenhouse gas inventories, air quality data, waterbody status, abstraction/discharge permits, NIEA protected sites, ASSI/SAC/SPA maps, land cover, flood risk, tourism statistics, agriculture statistics and LCA databases such as </w:t>
      </w:r>
      <w:proofErr w:type="spellStart"/>
      <w:r w:rsidRPr="002A51FF">
        <w:t>ecoinvent</w:t>
      </w:r>
      <w:proofErr w:type="spellEnd"/>
      <w:r w:rsidRPr="002A51FF">
        <w:t xml:space="preserve">, EXIOBASE or UK MRIO environmental extensions. The </w:t>
      </w:r>
      <w:proofErr w:type="spellStart"/>
      <w:r w:rsidRPr="002A51FF">
        <w:t>Minviro</w:t>
      </w:r>
      <w:proofErr w:type="spellEnd"/>
      <w:r w:rsidRPr="002A51FF">
        <w:t xml:space="preserve"> CLCA approach already provides a template for linking economic outputs to CO₂, particulate matter and employment. </w:t>
      </w:r>
    </w:p>
    <w:p w14:paraId="6C0161D2" w14:textId="77777777" w:rsidR="002A51FF" w:rsidRPr="002A51FF" w:rsidRDefault="002A51FF" w:rsidP="002A51FF">
      <w:r w:rsidRPr="002A51FF">
        <w:pict w14:anchorId="4C30BAAD">
          <v:rect id="_x0000_i1079" style="width:0;height:1.5pt" o:hralign="center" o:hrstd="t" o:hr="t" fillcolor="#a0a0a0" stroked="f"/>
        </w:pict>
      </w:r>
    </w:p>
    <w:p w14:paraId="0C129354" w14:textId="77777777" w:rsidR="002A51FF" w:rsidRPr="002A51FF" w:rsidRDefault="002A51FF" w:rsidP="002A51FF">
      <w:pPr>
        <w:rPr>
          <w:b/>
          <w:bCs/>
        </w:rPr>
      </w:pPr>
      <w:r w:rsidRPr="002A51FF">
        <w:rPr>
          <w:b/>
          <w:bCs/>
        </w:rPr>
        <w:t>7. Recommended work programme</w:t>
      </w:r>
    </w:p>
    <w:p w14:paraId="3FAAAF7E" w14:textId="77777777" w:rsidR="002A51FF" w:rsidRPr="002A51FF" w:rsidRDefault="002A51FF" w:rsidP="002A51FF">
      <w:r w:rsidRPr="002A51FF">
        <w:rPr>
          <w:b/>
          <w:bCs/>
        </w:rPr>
        <w:t>Phase 1 — Scoping and policy logic, 1 month</w:t>
      </w:r>
      <w:r w:rsidRPr="002A51FF">
        <w:br/>
        <w:t>Define minerals, products, sectors, geographies, policy levers and indicators for the seven questions.</w:t>
      </w:r>
    </w:p>
    <w:p w14:paraId="121B5489" w14:textId="77777777" w:rsidR="002A51FF" w:rsidRPr="002A51FF" w:rsidRDefault="002A51FF" w:rsidP="002A51FF">
      <w:r w:rsidRPr="002A51FF">
        <w:rPr>
          <w:b/>
          <w:bCs/>
        </w:rPr>
        <w:t>Phase 2 — Data architecture and baseline, 2–3 months</w:t>
      </w:r>
      <w:r w:rsidRPr="002A51FF">
        <w:br/>
        <w:t>Build the baseline material-flow account, economic account, waste-flow account and supply-chain map.</w:t>
      </w:r>
    </w:p>
    <w:p w14:paraId="3D86C47E" w14:textId="77777777" w:rsidR="002A51FF" w:rsidRPr="002A51FF" w:rsidRDefault="002A51FF" w:rsidP="002A51FF">
      <w:r w:rsidRPr="002A51FF">
        <w:rPr>
          <w:b/>
          <w:bCs/>
        </w:rPr>
        <w:t>Phase 3 — ABM prototype, 3 months</w:t>
      </w:r>
      <w:r w:rsidRPr="002A51FF">
        <w:br/>
        <w:t>Model agents, material flows, mine/recycling investment decisions, product lifetimes, collection rates and recovery yields.</w:t>
      </w:r>
    </w:p>
    <w:p w14:paraId="762CDC81" w14:textId="77777777" w:rsidR="002A51FF" w:rsidRPr="002A51FF" w:rsidRDefault="002A51FF" w:rsidP="002A51FF">
      <w:r w:rsidRPr="002A51FF">
        <w:rPr>
          <w:b/>
          <w:bCs/>
        </w:rPr>
        <w:lastRenderedPageBreak/>
        <w:t>Phase 4 — Dynamic I-O module, 2 months</w:t>
      </w:r>
      <w:r w:rsidRPr="002A51FF">
        <w:br/>
        <w:t xml:space="preserve">Rebuild </w:t>
      </w:r>
      <w:proofErr w:type="spellStart"/>
      <w:r w:rsidRPr="002A51FF">
        <w:t>Minviro</w:t>
      </w:r>
      <w:proofErr w:type="spellEnd"/>
      <w:r w:rsidRPr="002A51FF">
        <w:t>-style I-O scenarios using updated NISRA tables and add dynamic coefficients, imports, emissions and jobs.</w:t>
      </w:r>
    </w:p>
    <w:p w14:paraId="32142CB0" w14:textId="77777777" w:rsidR="002A51FF" w:rsidRPr="002A51FF" w:rsidRDefault="002A51FF" w:rsidP="002A51FF">
      <w:r w:rsidRPr="002A51FF">
        <w:rPr>
          <w:b/>
          <w:bCs/>
        </w:rPr>
        <w:t>Phase 5 — CGE module, 4 months</w:t>
      </w:r>
      <w:r w:rsidRPr="002A51FF">
        <w:br/>
        <w:t>Construct a Northern Ireland SAM, calibrate production/consumption/trade relationships, and test price, labour, energy and trade shocks.</w:t>
      </w:r>
    </w:p>
    <w:p w14:paraId="4B031E19" w14:textId="77777777" w:rsidR="002A51FF" w:rsidRPr="002A51FF" w:rsidRDefault="002A51FF" w:rsidP="002A51FF">
      <w:r w:rsidRPr="002A51FF">
        <w:rPr>
          <w:b/>
          <w:bCs/>
        </w:rPr>
        <w:t>Phase 6 — Model coupling and validation, 2–3 months</w:t>
      </w:r>
      <w:r w:rsidRPr="002A51FF">
        <w:br/>
        <w:t>Connect ABM → I-O → CGE feedback loops; validate against historical mining/quarrying, recycling, employment and trade data.</w:t>
      </w:r>
    </w:p>
    <w:p w14:paraId="51A68DD5" w14:textId="77777777" w:rsidR="002A51FF" w:rsidRPr="002A51FF" w:rsidRDefault="002A51FF" w:rsidP="002A51FF">
      <w:r w:rsidRPr="002A51FF">
        <w:rPr>
          <w:b/>
          <w:bCs/>
        </w:rPr>
        <w:t>Phase 7 — Policy experiments and reporting, 2 months</w:t>
      </w:r>
      <w:r w:rsidRPr="002A51FF">
        <w:br/>
        <w:t>Run the six scenario families and produce a policy dashboard answering questions 2.1–2.7.</w:t>
      </w:r>
    </w:p>
    <w:p w14:paraId="7D9BFBAB" w14:textId="77777777" w:rsidR="002A51FF" w:rsidRPr="002A51FF" w:rsidRDefault="002A51FF" w:rsidP="002A51FF">
      <w:r w:rsidRPr="002A51FF">
        <w:t xml:space="preserve">A credible first version could be delivered in </w:t>
      </w:r>
      <w:r w:rsidRPr="002A51FF">
        <w:rPr>
          <w:b/>
          <w:bCs/>
        </w:rPr>
        <w:t>9–12 months</w:t>
      </w:r>
      <w:r w:rsidRPr="002A51FF">
        <w:t xml:space="preserve">, with a more robust calibrated version in </w:t>
      </w:r>
      <w:r w:rsidRPr="002A51FF">
        <w:rPr>
          <w:b/>
          <w:bCs/>
        </w:rPr>
        <w:t>12–18 months</w:t>
      </w:r>
      <w:r w:rsidRPr="002A51FF">
        <w:t>.</w:t>
      </w:r>
    </w:p>
    <w:p w14:paraId="6412C069" w14:textId="77777777" w:rsidR="002A51FF" w:rsidRPr="002A51FF" w:rsidRDefault="002A51FF" w:rsidP="002A51FF">
      <w:r w:rsidRPr="002A51FF">
        <w:pict w14:anchorId="04765060">
          <v:rect id="_x0000_i1080" style="width:0;height:1.5pt" o:hralign="center" o:hrstd="t" o:hr="t" fillcolor="#a0a0a0" stroked="f"/>
        </w:pict>
      </w:r>
    </w:p>
    <w:p w14:paraId="3E6C6E8F" w14:textId="77777777" w:rsidR="002A51FF" w:rsidRPr="002A51FF" w:rsidRDefault="002A51FF" w:rsidP="002A51FF">
      <w:pPr>
        <w:rPr>
          <w:b/>
          <w:bCs/>
        </w:rPr>
      </w:pPr>
      <w:r w:rsidRPr="002A51FF">
        <w:rPr>
          <w:b/>
          <w:bCs/>
        </w:rPr>
        <w:t>8. Main recommendation</w:t>
      </w:r>
    </w:p>
    <w:p w14:paraId="60DA4BCC" w14:textId="77777777" w:rsidR="002A51FF" w:rsidRPr="002A51FF" w:rsidRDefault="002A51FF" w:rsidP="002A51FF">
      <w:r w:rsidRPr="002A51FF">
        <w:t xml:space="preserve">Build the model around </w:t>
      </w:r>
      <w:r w:rsidRPr="002A51FF">
        <w:rPr>
          <w:b/>
          <w:bCs/>
        </w:rPr>
        <w:t>circular supply security</w:t>
      </w:r>
      <w:r w:rsidRPr="002A51FF">
        <w:t>, not just mining. Northern Ireland’s strongest policy case is likely to be the combination of:</w:t>
      </w:r>
    </w:p>
    <w:p w14:paraId="319AC7DF" w14:textId="77777777" w:rsidR="002A51FF" w:rsidRPr="002A51FF" w:rsidRDefault="002A51FF" w:rsidP="002A51FF">
      <w:r w:rsidRPr="002A51FF">
        <w:t>responsible primary extraction where evidence supports it, critical-mineral recovery from end-of-life products, local supplier development, skills formation, high-ESG permitting, and secondary materials market creation.</w:t>
      </w:r>
    </w:p>
    <w:p w14:paraId="19F28C08" w14:textId="77777777" w:rsidR="002A51FF" w:rsidRPr="002A51FF" w:rsidRDefault="002A51FF" w:rsidP="002A51FF">
      <w:r w:rsidRPr="002A51FF">
        <w:t xml:space="preserve">The model should therefore be designed to compare not “mining versus recycling”, but </w:t>
      </w:r>
      <w:r w:rsidRPr="002A51FF">
        <w:rPr>
          <w:b/>
          <w:bCs/>
        </w:rPr>
        <w:t>which mix of mining, recycling, substitution, circular design, imports and public support delivers the best balance of resilience, GVA, employment, environmental protection and community acceptance</w:t>
      </w:r>
      <w:r w:rsidRPr="002A51FF">
        <w:t>.</w:t>
      </w:r>
    </w:p>
    <w:p w14:paraId="08F2D677" w14:textId="77777777" w:rsidR="002A51FF" w:rsidRPr="002A51FF" w:rsidRDefault="002A51FF" w:rsidP="002A51FF">
      <w:pPr>
        <w:rPr>
          <w:vanish/>
        </w:rPr>
      </w:pPr>
      <w:r w:rsidRPr="002A51FF">
        <w:rPr>
          <w:vanish/>
        </w:rPr>
        <w:t>Top of Form</w:t>
      </w:r>
    </w:p>
    <w:p w14:paraId="671A589D" w14:textId="77777777" w:rsidR="002A51FF" w:rsidRPr="002A51FF" w:rsidRDefault="002A51FF" w:rsidP="002A51FF"/>
    <w:p w14:paraId="78C66084" w14:textId="77777777" w:rsidR="002A51FF" w:rsidRPr="002A51FF" w:rsidRDefault="002A51FF" w:rsidP="002A51FF">
      <w:pPr>
        <w:rPr>
          <w:vanish/>
        </w:rPr>
      </w:pPr>
      <w:r w:rsidRPr="002A51FF">
        <w:rPr>
          <w:vanish/>
        </w:rPr>
        <w:t>Bottom of Form</w:t>
      </w:r>
    </w:p>
    <w:p w14:paraId="3E74AA64" w14:textId="77777777" w:rsidR="000F2A68" w:rsidRDefault="000F2A68"/>
    <w:sectPr w:rsidR="000F2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63B13"/>
    <w:multiLevelType w:val="multilevel"/>
    <w:tmpl w:val="2970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84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1FF"/>
    <w:rsid w:val="000F2A68"/>
    <w:rsid w:val="002A51FF"/>
    <w:rsid w:val="00300CD1"/>
    <w:rsid w:val="00CD6966"/>
    <w:rsid w:val="00DD2D0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C1F4"/>
  <w15:chartTrackingRefBased/>
  <w15:docId w15:val="{BD169CDC-3BE1-4498-81AD-5351200C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1FF"/>
    <w:rPr>
      <w:rFonts w:eastAsiaTheme="majorEastAsia" w:cstheme="majorBidi"/>
      <w:color w:val="272727" w:themeColor="text1" w:themeTint="D8"/>
    </w:rPr>
  </w:style>
  <w:style w:type="paragraph" w:styleId="Title">
    <w:name w:val="Title"/>
    <w:basedOn w:val="Normal"/>
    <w:next w:val="Normal"/>
    <w:link w:val="TitleChar"/>
    <w:uiPriority w:val="10"/>
    <w:qFormat/>
    <w:rsid w:val="002A5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1FF"/>
    <w:pPr>
      <w:spacing w:before="160"/>
      <w:jc w:val="center"/>
    </w:pPr>
    <w:rPr>
      <w:i/>
      <w:iCs/>
      <w:color w:val="404040" w:themeColor="text1" w:themeTint="BF"/>
    </w:rPr>
  </w:style>
  <w:style w:type="character" w:customStyle="1" w:styleId="QuoteChar">
    <w:name w:val="Quote Char"/>
    <w:basedOn w:val="DefaultParagraphFont"/>
    <w:link w:val="Quote"/>
    <w:uiPriority w:val="29"/>
    <w:rsid w:val="002A51FF"/>
    <w:rPr>
      <w:i/>
      <w:iCs/>
      <w:color w:val="404040" w:themeColor="text1" w:themeTint="BF"/>
    </w:rPr>
  </w:style>
  <w:style w:type="paragraph" w:styleId="ListParagraph">
    <w:name w:val="List Paragraph"/>
    <w:basedOn w:val="Normal"/>
    <w:uiPriority w:val="34"/>
    <w:qFormat/>
    <w:rsid w:val="002A51FF"/>
    <w:pPr>
      <w:ind w:left="720"/>
      <w:contextualSpacing/>
    </w:pPr>
  </w:style>
  <w:style w:type="character" w:styleId="IntenseEmphasis">
    <w:name w:val="Intense Emphasis"/>
    <w:basedOn w:val="DefaultParagraphFont"/>
    <w:uiPriority w:val="21"/>
    <w:qFormat/>
    <w:rsid w:val="002A51FF"/>
    <w:rPr>
      <w:i/>
      <w:iCs/>
      <w:color w:val="0F4761" w:themeColor="accent1" w:themeShade="BF"/>
    </w:rPr>
  </w:style>
  <w:style w:type="paragraph" w:styleId="IntenseQuote">
    <w:name w:val="Intense Quote"/>
    <w:basedOn w:val="Normal"/>
    <w:next w:val="Normal"/>
    <w:link w:val="IntenseQuoteChar"/>
    <w:uiPriority w:val="30"/>
    <w:qFormat/>
    <w:rsid w:val="002A5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1FF"/>
    <w:rPr>
      <w:i/>
      <w:iCs/>
      <w:color w:val="0F4761" w:themeColor="accent1" w:themeShade="BF"/>
    </w:rPr>
  </w:style>
  <w:style w:type="character" w:styleId="IntenseReference">
    <w:name w:val="Intense Reference"/>
    <w:basedOn w:val="DefaultParagraphFont"/>
    <w:uiPriority w:val="32"/>
    <w:qFormat/>
    <w:rsid w:val="002A51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2080</Words>
  <Characters>11856</Characters>
  <Application>Microsoft Office Word</Application>
  <DocSecurity>0</DocSecurity>
  <Lines>98</Lines>
  <Paragraphs>27</Paragraphs>
  <ScaleCrop>false</ScaleCrop>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Zhang</dc:creator>
  <cp:keywords/>
  <dc:description/>
  <cp:lastModifiedBy>Min Zhang</cp:lastModifiedBy>
  <cp:revision>1</cp:revision>
  <dcterms:created xsi:type="dcterms:W3CDTF">2026-06-15T21:24:00Z</dcterms:created>
  <dcterms:modified xsi:type="dcterms:W3CDTF">2026-06-15T21:25:00Z</dcterms:modified>
</cp:coreProperties>
</file>