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94CB" w14:textId="1D242A7F" w:rsidR="000F2A68" w:rsidRDefault="00F0674A">
      <w:r>
        <w:t>F</w:t>
      </w:r>
      <w:r>
        <w:rPr>
          <w:rFonts w:hint="eastAsia"/>
        </w:rPr>
        <w:t xml:space="preserve">ile 1: </w:t>
      </w:r>
    </w:p>
    <w:p w14:paraId="5F86A72F" w14:textId="77777777" w:rsidR="00F0674A" w:rsidRPr="00F0674A" w:rsidRDefault="00F0674A" w:rsidP="00F0674A">
      <w:r w:rsidRPr="00F0674A">
        <w:t xml:space="preserve">The </w:t>
      </w:r>
      <w:proofErr w:type="spellStart"/>
      <w:r w:rsidRPr="00F0674A">
        <w:t>Minviro</w:t>
      </w:r>
      <w:proofErr w:type="spellEnd"/>
      <w:r w:rsidRPr="00F0674A">
        <w:t xml:space="preserve"> 2022 research highlights the potential mineral resource in this region and indicates a range of potential economic benefits associated with mineral extraction activities that are contingent upon the scale of development pursued. The research also highlights potential environmental and social impacts, which likewise intensify with increased development. In summary, the research found: </w:t>
      </w:r>
    </w:p>
    <w:p w14:paraId="4BC8A232" w14:textId="77777777" w:rsidR="00F0674A" w:rsidRPr="00F0674A" w:rsidRDefault="00F0674A" w:rsidP="00F0674A">
      <w:pPr>
        <w:numPr>
          <w:ilvl w:val="0"/>
          <w:numId w:val="1"/>
        </w:numPr>
      </w:pPr>
      <w:r w:rsidRPr="00F0674A">
        <w:t>Security of supply of raw materials/minerals is essential to grow the green economy.</w:t>
      </w:r>
    </w:p>
    <w:p w14:paraId="6B03361F" w14:textId="77777777" w:rsidR="00F0674A" w:rsidRPr="00F0674A" w:rsidRDefault="00F0674A" w:rsidP="00F0674A">
      <w:pPr>
        <w:numPr>
          <w:ilvl w:val="0"/>
          <w:numId w:val="1"/>
        </w:numPr>
      </w:pPr>
      <w:r w:rsidRPr="00F0674A">
        <w:t>This region has potential for certain key mineral resources.</w:t>
      </w:r>
    </w:p>
    <w:p w14:paraId="75403AEB" w14:textId="77777777" w:rsidR="00F0674A" w:rsidRPr="00F0674A" w:rsidRDefault="00F0674A" w:rsidP="00F0674A">
      <w:pPr>
        <w:numPr>
          <w:ilvl w:val="0"/>
          <w:numId w:val="1"/>
        </w:numPr>
      </w:pPr>
      <w:r w:rsidRPr="00F0674A">
        <w:t>The decision to pursue mineral exploration and extraction is finely balanced, with many positive and negative aspects for the economy and environment.</w:t>
      </w:r>
    </w:p>
    <w:p w14:paraId="3C214CB9" w14:textId="77777777" w:rsidR="00F0674A" w:rsidRPr="00F0674A" w:rsidRDefault="00F0674A" w:rsidP="00F0674A">
      <w:pPr>
        <w:numPr>
          <w:ilvl w:val="0"/>
          <w:numId w:val="1"/>
        </w:numPr>
      </w:pPr>
      <w:r w:rsidRPr="00F0674A">
        <w:t>Each commodity has its own specific requirements. Economic impact can be significant, but hinges on many factors to arrive at a commercially successful mine.</w:t>
      </w:r>
    </w:p>
    <w:p w14:paraId="648918B7" w14:textId="77777777" w:rsidR="00F0674A" w:rsidRPr="00F0674A" w:rsidRDefault="00F0674A" w:rsidP="00F0674A">
      <w:r w:rsidRPr="00F0674A">
        <w:t>Two key principles within the Executive’s Energy Strategy</w:t>
      </w:r>
      <w:r w:rsidRPr="00F0674A">
        <w:rPr>
          <w:vertAlign w:val="superscript"/>
        </w:rPr>
        <w:t>4</w:t>
      </w:r>
      <w:r w:rsidRPr="00F0674A">
        <w:t xml:space="preserve"> are: to replace fossil fuels with renewable energy and to grow a green economy. </w:t>
      </w:r>
      <w:proofErr w:type="gramStart"/>
      <w:r w:rsidRPr="00F0674A">
        <w:t>In order to</w:t>
      </w:r>
      <w:proofErr w:type="gramEnd"/>
      <w:r w:rsidRPr="00F0674A">
        <w:t xml:space="preserve"> achieve these two objectives and meet net zero goals within the Climate Change (NI) Act 2022, a secure and sustainable supply of raw materials is required, including a range of critical minerals. </w:t>
      </w:r>
    </w:p>
    <w:p w14:paraId="7A861791" w14:textId="77777777" w:rsidR="00F0674A" w:rsidRPr="00F0674A" w:rsidRDefault="00F0674A" w:rsidP="00F0674A">
      <w:r w:rsidRPr="00F0674A">
        <w:t>Both the UK Critical Minerals Strategy and the EU Critical Raw Materials Act</w:t>
      </w:r>
      <w:r w:rsidRPr="00F0674A">
        <w:rPr>
          <w:vertAlign w:val="superscript"/>
        </w:rPr>
        <w:t>5</w:t>
      </w:r>
      <w:r w:rsidRPr="00F0674A">
        <w:t> set a clear strategic direction on the importance of minerals for future economic growth. As outlined in the UK Critical Minerals Strategy </w:t>
      </w:r>
    </w:p>
    <w:p w14:paraId="054315E2" w14:textId="77777777" w:rsidR="00F0674A" w:rsidRPr="00F0674A" w:rsidRDefault="00F0674A" w:rsidP="00F0674A">
      <w:r w:rsidRPr="00F0674A">
        <w:t>“Critical minerals are essential to the UK’s economy, national security, and clean energy transition. UK economic resilience is a core objective of the UK’s </w:t>
      </w:r>
      <w:hyperlink r:id="rId5" w:tgtFrame="_blank" w:history="1">
        <w:r w:rsidRPr="00F0674A">
          <w:rPr>
            <w:rStyle w:val="Hyperlink"/>
          </w:rPr>
          <w:t xml:space="preserve">Industrial </w:t>
        </w:r>
        <w:proofErr w:type="gramStart"/>
        <w:r w:rsidRPr="00F0674A">
          <w:rPr>
            <w:rStyle w:val="Hyperlink"/>
          </w:rPr>
          <w:t>Strategy(</w:t>
        </w:r>
        <w:proofErr w:type="gramEnd"/>
        <w:r w:rsidRPr="00F0674A">
          <w:rPr>
            <w:rStyle w:val="Hyperlink"/>
          </w:rPr>
          <w:t>external link opens in a new window / tab)</w:t>
        </w:r>
      </w:hyperlink>
      <w:r w:rsidRPr="00F0674A">
        <w:t>. As foundational inputs to sectors driving the Industrial Strategy, critical minerals are vital to achieving the government’s mission of stimulating long-term economic growth. However, the global geopolitical landscape and complex supply chains pose persistent challenges to securing these vital resources. In this global, dynamic context, a new approach to critical minerals is required.”</w:t>
      </w:r>
      <w:r w:rsidRPr="00F0674A">
        <w:rPr>
          <w:vertAlign w:val="superscript"/>
        </w:rPr>
        <w:t>6</w:t>
      </w:r>
    </w:p>
    <w:p w14:paraId="79AB2A7B" w14:textId="77777777" w:rsidR="00F0674A" w:rsidRPr="00F0674A" w:rsidRDefault="00F0674A" w:rsidP="00F0674A">
      <w:r w:rsidRPr="00F0674A">
        <w:t>It is recognised, as outlined in both the UK and EU strategies, that there is a need to secure critical minerals through both circular economy approaches and primary extraction.</w:t>
      </w:r>
    </w:p>
    <w:p w14:paraId="3689B768" w14:textId="77777777" w:rsidR="00F0674A" w:rsidRPr="00F0674A" w:rsidRDefault="00F0674A" w:rsidP="00F0674A">
      <w:r w:rsidRPr="00F0674A">
        <w:t>Circular Economy</w:t>
      </w:r>
    </w:p>
    <w:p w14:paraId="5C4DDB09" w14:textId="77777777" w:rsidR="00F0674A" w:rsidRPr="00F0674A" w:rsidRDefault="00F0674A" w:rsidP="00F0674A">
      <w:r w:rsidRPr="00F0674A">
        <w:t xml:space="preserve">The Department is currently working on and supporting </w:t>
      </w:r>
      <w:proofErr w:type="gramStart"/>
      <w:r w:rsidRPr="00F0674A">
        <w:t>a number of</w:t>
      </w:r>
      <w:proofErr w:type="gramEnd"/>
      <w:r w:rsidRPr="00F0674A">
        <w:t xml:space="preserve"> initiatives on the circular economy. It has developed and is finalising a Circular Economy Strategy which </w:t>
      </w:r>
      <w:r w:rsidRPr="00F0674A">
        <w:lastRenderedPageBreak/>
        <w:t xml:space="preserve">aims to create an innovative, sustainable and inclusive economy focused on people, planet and prosperity, with responsible production and consumption at its core.  It promotes the three principles of designing things differently to reduce waste, keeping products and materials in use at their highest value and looking for ways to regenerate nature.  With investment in innovation, skills, education and infrastructure the Department aims to reduce Northern Ireland’s demand for virgin materials.  This will be through increasing circular activities like, reuse, repair, reprocessing to maximise the value of materials.  For critical minerals, the Department is supporting </w:t>
      </w:r>
      <w:proofErr w:type="gramStart"/>
      <w:r w:rsidRPr="00F0674A">
        <w:t>a number of</w:t>
      </w:r>
      <w:proofErr w:type="gramEnd"/>
      <w:r w:rsidRPr="00F0674A">
        <w:t xml:space="preserve"> initiatives to recycle these materials.  One example of this is Ionic Technologies, which has developed technology to separate and refine rare earth minerals (from spent permanent magnets) to be recycled and applied again in electric vehicles, wind and aerospace. </w:t>
      </w:r>
    </w:p>
    <w:p w14:paraId="31D8C256" w14:textId="77777777" w:rsidR="00F0674A" w:rsidRPr="00F0674A" w:rsidRDefault="00F0674A" w:rsidP="00F0674A">
      <w:r w:rsidRPr="00F0674A">
        <w:t>Primary Extraction (Mining)</w:t>
      </w:r>
    </w:p>
    <w:p w14:paraId="63A41D74" w14:textId="77777777" w:rsidR="00F0674A" w:rsidRPr="00F0674A" w:rsidRDefault="00F0674A" w:rsidP="00F0674A">
      <w:proofErr w:type="spellStart"/>
      <w:r w:rsidRPr="00F0674A">
        <w:t>Minviro</w:t>
      </w:r>
      <w:proofErr w:type="spellEnd"/>
      <w:r w:rsidRPr="00F0674A">
        <w:t xml:space="preserve"> 2022 assesses the potential mineral resource and indicates a range of potential economic benefits from any future mineral extraction activity while considering the potential environmental and social impacts of varying levels of development </w:t>
      </w:r>
      <w:r w:rsidRPr="00F0674A">
        <w:rPr>
          <w:vertAlign w:val="superscript"/>
        </w:rPr>
        <w:t>7</w:t>
      </w:r>
      <w:r w:rsidRPr="00F0674A">
        <w:t>. </w:t>
      </w:r>
    </w:p>
    <w:p w14:paraId="2A0ADE88" w14:textId="77777777" w:rsidR="00F0674A" w:rsidRPr="00F0674A" w:rsidRDefault="00F0674A" w:rsidP="00F0674A">
      <w:r w:rsidRPr="00F0674A">
        <w:t>The key economic benefits of mineral exploration and mining include job and wealth creation, infrastructure investment, increased export revenues, and the provision of essential minerals for the industrial, manufacturing and technology sectors. Mineral development can stimulate local economies, support technological advancement, and contribute to public finances through taxation. </w:t>
      </w:r>
    </w:p>
    <w:p w14:paraId="7E07D6C0" w14:textId="77777777" w:rsidR="00F0674A" w:rsidRPr="00F0674A" w:rsidRDefault="00F0674A" w:rsidP="00F0674A">
      <w:r w:rsidRPr="00F0674A">
        <w:t>While it is widely recognised that changing the economy to encourage repairing, reusing, refurbishing, and recycling approaches has benefits for both business and the climate, this alone will not meet our current and future demand for minerals.</w:t>
      </w:r>
    </w:p>
    <w:p w14:paraId="0DC691AB" w14:textId="77777777" w:rsidR="00F0674A" w:rsidRPr="00F0674A" w:rsidRDefault="00F0674A" w:rsidP="00F0674A">
      <w:r w:rsidRPr="00F0674A">
        <w:t>Our diverse geology has meant that throughout our history we have had a rich heritage of primary extraction. That geology potentially holds deposits of both traditional and critical minerals that could be exploited to meet current local, and possibly global demand, for some minerals.</w:t>
      </w:r>
    </w:p>
    <w:p w14:paraId="15CF01CC" w14:textId="77777777" w:rsidR="00F0674A" w:rsidRPr="00F0674A" w:rsidRDefault="00F0674A" w:rsidP="00F0674A">
      <w:r w:rsidRPr="00F0674A">
        <w:t>However, while mineral development presents clear economic opportunities and other potential positive impacts, it is important to also consider the potential negative impacts. </w:t>
      </w:r>
    </w:p>
    <w:p w14:paraId="4184BD2F" w14:textId="77777777" w:rsidR="00F0674A" w:rsidRPr="00F0674A" w:rsidRDefault="00F0674A" w:rsidP="00F0674A">
      <w:r w:rsidRPr="00F0674A">
        <w:t>The Department would greatly value your views, and any supporting evidence, on the future sourcing of minerals, including critical minerals. We are particularly interested in evidence that should inform future decisions on mineral exploration or development within the context of a future minerals policy. This includes the benefits and negative impacts that should be considered.</w:t>
      </w:r>
    </w:p>
    <w:p w14:paraId="1C5A9841" w14:textId="77777777" w:rsidR="00F0674A" w:rsidRPr="00F0674A" w:rsidRDefault="00F0674A" w:rsidP="00F0674A">
      <w:r w:rsidRPr="00F0674A">
        <w:lastRenderedPageBreak/>
        <w:t>Where possible, the Department would appreciate it if you could structure your responses using the following questions.</w:t>
      </w:r>
    </w:p>
    <w:p w14:paraId="5A8FC9D5" w14:textId="77777777" w:rsidR="00F0674A" w:rsidRPr="00F0674A" w:rsidRDefault="00F0674A" w:rsidP="00F0674A">
      <w:r w:rsidRPr="00F0674A">
        <w:t>2.1    How can the Department support innovation that will support circularity in particular, materials recovery, secondary materials markets, recycling and circular design in manufacturing?</w:t>
      </w:r>
    </w:p>
    <w:p w14:paraId="593ED083" w14:textId="77777777" w:rsidR="00F0674A" w:rsidRPr="00F0674A" w:rsidRDefault="00F0674A" w:rsidP="00F0674A">
      <w:r w:rsidRPr="00F0674A">
        <w:t>2.2    What are the key opportunities and challenges for sustainable minerals development?</w:t>
      </w:r>
    </w:p>
    <w:p w14:paraId="59D20D27" w14:textId="77777777" w:rsidR="00F0674A" w:rsidRPr="00F0674A" w:rsidRDefault="00F0674A" w:rsidP="00F0674A">
      <w:r w:rsidRPr="00F0674A">
        <w:t>2.3    What support is needed for businesses to participate in the minerals supply chain?</w:t>
      </w:r>
    </w:p>
    <w:p w14:paraId="6A4F69A8" w14:textId="77777777" w:rsidR="00F0674A" w:rsidRPr="00F0674A" w:rsidRDefault="00F0674A" w:rsidP="00F0674A">
      <w:r w:rsidRPr="00F0674A">
        <w:t>2.4    Both circular economy practices and primary extraction have been identified as necessary to secure the supply of minerals for the green transition, and other essential industry. What role should we have in ensuring a secure supply of minerals?</w:t>
      </w:r>
    </w:p>
    <w:p w14:paraId="03953FBB" w14:textId="77777777" w:rsidR="00F0674A" w:rsidRPr="00F0674A" w:rsidRDefault="00F0674A" w:rsidP="00F0674A">
      <w:r w:rsidRPr="00F0674A">
        <w:t>2.5    How can the sector contribute to local employment, skills development, and regional growth?</w:t>
      </w:r>
    </w:p>
    <w:p w14:paraId="0FBA996A" w14:textId="77777777" w:rsidR="00F0674A" w:rsidRPr="00F0674A" w:rsidRDefault="00F0674A" w:rsidP="00F0674A">
      <w:r w:rsidRPr="00F0674A">
        <w:t>2.6    What are the potential economic benefits of mineral development?</w:t>
      </w:r>
    </w:p>
    <w:p w14:paraId="049C3EFE" w14:textId="77777777" w:rsidR="00F0674A" w:rsidRPr="00F0674A" w:rsidRDefault="00F0674A" w:rsidP="00F0674A">
      <w:r w:rsidRPr="00F0674A">
        <w:t>2.7    What are the potential economic negative impacts of mineral development? </w:t>
      </w:r>
    </w:p>
    <w:p w14:paraId="192CDB2C" w14:textId="77777777" w:rsidR="00F0674A" w:rsidRDefault="00F0674A"/>
    <w:p w14:paraId="3E6E677B" w14:textId="5EE62FBE" w:rsidR="00F0674A" w:rsidRDefault="00F0674A">
      <w:pPr>
        <w:rPr>
          <w:rFonts w:hint="eastAsia"/>
        </w:rPr>
      </w:pPr>
    </w:p>
    <w:sectPr w:rsidR="00F06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0492"/>
    <w:multiLevelType w:val="multilevel"/>
    <w:tmpl w:val="2B7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44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4A"/>
    <w:rsid w:val="00051BF7"/>
    <w:rsid w:val="000F2A68"/>
    <w:rsid w:val="00191F3F"/>
    <w:rsid w:val="00CD6966"/>
    <w:rsid w:val="00DD2D0C"/>
    <w:rsid w:val="00F067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347F"/>
  <w15:chartTrackingRefBased/>
  <w15:docId w15:val="{B54B790B-6C61-4D62-AF8E-C78959A7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74A"/>
    <w:rPr>
      <w:rFonts w:eastAsiaTheme="majorEastAsia" w:cstheme="majorBidi"/>
      <w:color w:val="272727" w:themeColor="text1" w:themeTint="D8"/>
    </w:rPr>
  </w:style>
  <w:style w:type="paragraph" w:styleId="Title">
    <w:name w:val="Title"/>
    <w:basedOn w:val="Normal"/>
    <w:next w:val="Normal"/>
    <w:link w:val="TitleChar"/>
    <w:uiPriority w:val="10"/>
    <w:qFormat/>
    <w:rsid w:val="00F06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74A"/>
    <w:pPr>
      <w:spacing w:before="160"/>
      <w:jc w:val="center"/>
    </w:pPr>
    <w:rPr>
      <w:i/>
      <w:iCs/>
      <w:color w:val="404040" w:themeColor="text1" w:themeTint="BF"/>
    </w:rPr>
  </w:style>
  <w:style w:type="character" w:customStyle="1" w:styleId="QuoteChar">
    <w:name w:val="Quote Char"/>
    <w:basedOn w:val="DefaultParagraphFont"/>
    <w:link w:val="Quote"/>
    <w:uiPriority w:val="29"/>
    <w:rsid w:val="00F0674A"/>
    <w:rPr>
      <w:i/>
      <w:iCs/>
      <w:color w:val="404040" w:themeColor="text1" w:themeTint="BF"/>
    </w:rPr>
  </w:style>
  <w:style w:type="paragraph" w:styleId="ListParagraph">
    <w:name w:val="List Paragraph"/>
    <w:basedOn w:val="Normal"/>
    <w:uiPriority w:val="34"/>
    <w:qFormat/>
    <w:rsid w:val="00F0674A"/>
    <w:pPr>
      <w:ind w:left="720"/>
      <w:contextualSpacing/>
    </w:pPr>
  </w:style>
  <w:style w:type="character" w:styleId="IntenseEmphasis">
    <w:name w:val="Intense Emphasis"/>
    <w:basedOn w:val="DefaultParagraphFont"/>
    <w:uiPriority w:val="21"/>
    <w:qFormat/>
    <w:rsid w:val="00F0674A"/>
    <w:rPr>
      <w:i/>
      <w:iCs/>
      <w:color w:val="0F4761" w:themeColor="accent1" w:themeShade="BF"/>
    </w:rPr>
  </w:style>
  <w:style w:type="paragraph" w:styleId="IntenseQuote">
    <w:name w:val="Intense Quote"/>
    <w:basedOn w:val="Normal"/>
    <w:next w:val="Normal"/>
    <w:link w:val="IntenseQuoteChar"/>
    <w:uiPriority w:val="30"/>
    <w:qFormat/>
    <w:rsid w:val="00F06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74A"/>
    <w:rPr>
      <w:i/>
      <w:iCs/>
      <w:color w:val="0F4761" w:themeColor="accent1" w:themeShade="BF"/>
    </w:rPr>
  </w:style>
  <w:style w:type="character" w:styleId="IntenseReference">
    <w:name w:val="Intense Reference"/>
    <w:basedOn w:val="DefaultParagraphFont"/>
    <w:uiPriority w:val="32"/>
    <w:qFormat/>
    <w:rsid w:val="00F0674A"/>
    <w:rPr>
      <w:b/>
      <w:bCs/>
      <w:smallCaps/>
      <w:color w:val="0F4761" w:themeColor="accent1" w:themeShade="BF"/>
      <w:spacing w:val="5"/>
    </w:rPr>
  </w:style>
  <w:style w:type="character" w:styleId="Hyperlink">
    <w:name w:val="Hyperlink"/>
    <w:basedOn w:val="DefaultParagraphFont"/>
    <w:uiPriority w:val="99"/>
    <w:unhideWhenUsed/>
    <w:rsid w:val="00F0674A"/>
    <w:rPr>
      <w:color w:val="467886" w:themeColor="hyperlink"/>
      <w:u w:val="single"/>
    </w:rPr>
  </w:style>
  <w:style w:type="character" w:styleId="UnresolvedMention">
    <w:name w:val="Unresolved Mention"/>
    <w:basedOn w:val="DefaultParagraphFont"/>
    <w:uiPriority w:val="99"/>
    <w:semiHidden/>
    <w:unhideWhenUsed/>
    <w:rsid w:val="00F06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v.uk/government/publications/industrial-strateg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Zhang</dc:creator>
  <cp:keywords/>
  <dc:description/>
  <cp:lastModifiedBy>Min Zhang</cp:lastModifiedBy>
  <cp:revision>1</cp:revision>
  <dcterms:created xsi:type="dcterms:W3CDTF">2026-06-15T20:48:00Z</dcterms:created>
  <dcterms:modified xsi:type="dcterms:W3CDTF">2026-06-15T21:06:00Z</dcterms:modified>
</cp:coreProperties>
</file>