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Q2.7 — Potential economic negative impacts of mineral development</w:t>
      </w:r>
    </w:p>
    <w:p>
      <w:r>
        <w:rPr>
          <w:b/>
        </w:rPr>
        <w:t>Question (as posed):</w:t>
      </w:r>
      <w:r>
        <w:t xml:space="preserve"> *What are the potential economic negative impacts of mineral development?* This answer focuses </w:t>
      </w:r>
      <w:r>
        <w:rPr>
          <w:b/>
        </w:rPr>
        <w:t>only on the economic downsides</w:t>
      </w:r>
      <w:r>
        <w:t xml:space="preserve"> of (primarily) primary extraction — the environmental impacts (carbon, air, land, water, biodiversity, tailings) are a separate question and remain tracked by the model's I-O CO₂/PM satellites; they are </w:t>
      </w:r>
      <w:r>
        <w:rPr>
          <w:b/>
        </w:rPr>
        <w:t>out of scope here</w:t>
      </w:r>
      <w:r>
        <w:t>.</w:t>
      </w:r>
    </w:p>
    <w:p>
      <w:r>
        <w:rPr>
          <w:b/>
        </w:rPr>
        <w:t>Method (grounded in the Minviro report):</w:t>
      </w:r>
      <w:r>
        <w:t xml:space="preserve"> five economic negatives are quantified from the coupled model across policy scenarios, discounted at STPR 3.5% over 30 years. Magnitudes are PROXY (data_register); the credible content is the </w:t>
      </w:r>
      <w:r>
        <w:rPr>
          <w:b/>
        </w:rPr>
        <w:t>relative contrast</w:t>
      </w:r>
      <w:r>
        <w:t xml:space="preserve"> — primary extraction carries high economic-negative risk, circular activity carries little, and responsible *managed* development mitigates it.</w:t>
      </w:r>
    </w:p>
    <w:p>
      <w:pPr>
        <w:pStyle w:val="Heading2"/>
      </w:pPr>
      <w:r>
        <w:t>The five economic negative impacts</w:t>
      </w:r>
    </w:p>
    <w:p>
      <w:pPr>
        <w:pStyle w:val="ListNumber"/>
      </w:pPr>
      <w:r>
        <w:rPr>
          <w:b/>
        </w:rPr>
        <w:t>Benefit leakage (the enclave-economy risk).</w:t>
      </w:r>
      <w:r>
        <w:t xml:space="preserve"> GVA and jobs leak *out* of NI when specialist labour and equipment are imported rather than sourced locally — Minviro's central caveat (it warns benefits can be *"economically detached from the regions"* and cites the closed Irish mines </w:t>
      </w:r>
      <w:r>
        <w:rPr>
          <w:b/>
        </w:rPr>
        <w:t>Galmoy and Lisheen</w:t>
      </w:r>
      <w:r>
        <w:t>, where specialist construction firms limited local employment). In the model, leakage = (1 − local retention) × minerals GVA, and retention rises with local-supplier development + a skills pipeline.</w:t>
      </w:r>
    </w:p>
    <w:p>
      <w:pPr>
        <w:pStyle w:val="ListNumber"/>
      </w:pPr>
      <w:r>
        <w:rPr>
          <w:b/>
        </w:rPr>
        <w:t>Closure cliff + remediation liability.</w:t>
      </w:r>
      <w:r>
        <w:t xml:space="preserve"> A mine's direct GVA and jobs </w:t>
      </w:r>
      <w:r>
        <w:rPr>
          <w:b/>
        </w:rPr>
        <w:t>end at closure</w:t>
      </w:r>
      <w:r>
        <w:t xml:space="preserve"> (life-of-mine ≈ 18 yrs), a local boom-bust cliff within the horizon; and </w:t>
      </w:r>
      <w:r>
        <w:rPr>
          <w:b/>
        </w:rPr>
        <w:t>closure/remediation is a public liability if it is not bonded</w:t>
      </w:r>
      <w:r>
        <w:t xml:space="preserve"> (Minviro's mine-closure cost analysis). A responsible stance bonds closure, moving the liability off the public purse.</w:t>
      </w:r>
    </w:p>
    <w:p>
      <w:pPr>
        <w:pStyle w:val="ListNumber"/>
      </w:pPr>
      <w:r>
        <w:rPr>
          <w:b/>
        </w:rPr>
        <w:t>Agriculture &amp; tourism displacement.</w:t>
      </w:r>
      <w:r>
        <w:t xml:space="preserve"> A mine's land take and amenity loss displace host-area farming and tourism output (Minviro devotes sections to both) — acute for a rural/AONB setting like the Sperrins. Progressive rehabilitation shortens the displaced period.</w:t>
      </w:r>
    </w:p>
    <w:p>
      <w:pPr>
        <w:pStyle w:val="ListNumber"/>
      </w:pPr>
      <w:r>
        <w:rPr>
          <w:b/>
        </w:rPr>
        <w:t>Boom-bust / price-volatility exposure.</w:t>
      </w:r>
      <w:r>
        <w:t xml:space="preserve"> Commodity prices are volatile, so a large share of mining revenue/GVA is *at risk* year to year (Minviro notes price volatility and volatile inflows). This is reported as annual revenue-at-risk on the mining GVA.</w:t>
      </w:r>
    </w:p>
    <w:p>
      <w:pPr>
        <w:pStyle w:val="ListNumber"/>
      </w:pPr>
      <w:r>
        <w:rPr>
          <w:b/>
        </w:rPr>
        <w:t>Stranded / sunk capital on contested, long-lead projects.</w:t>
      </w:r>
      <w:r>
        <w:t xml:space="preserve"> A contested project (Dalradian's Curraghinalt — ~£250m proposed, a ~21-year planning inquiry) risks capital that is </w:t>
      </w:r>
      <w:r>
        <w:rPr>
          <w:b/>
        </w:rPr>
        <w:t>sunk without ever operating</w:t>
      </w:r>
      <w:r>
        <w:t xml:space="preserve">, or </w:t>
      </w:r>
      <w:r>
        <w:rPr>
          <w:b/>
        </w:rPr>
        <w:t>stranded mid-life</w:t>
      </w:r>
      <w:r>
        <w:t xml:space="preserve"> by recycling/substitution or a price collapse. A circular (recovery-capacity) hedge lowers reliance on the single mine and the exposure.</w:t>
      </w:r>
    </w:p>
    <w:p>
      <w:pPr>
        <w:pStyle w:val="Heading2"/>
      </w:pPr>
      <w:r>
        <w:t>Economic-negative profile by scenario (£m, discounted)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b/>
                <w:sz w:val="16"/>
              </w:rPr>
              <w:t>scenario</w:t>
            </w:r>
          </w:p>
        </w:tc>
        <w:tc>
          <w:tcPr>
            <w:tcW w:type="dxa" w:w="960"/>
          </w:tcPr>
          <w:p>
            <w:r>
              <w:rPr>
                <w:b/>
                <w:sz w:val="16"/>
              </w:rPr>
              <w:t>label</w:t>
            </w:r>
          </w:p>
        </w:tc>
        <w:tc>
          <w:tcPr>
            <w:tcW w:type="dxa" w:w="960"/>
          </w:tcPr>
          <w:p>
            <w:r>
              <w:rPr>
                <w:b/>
                <w:sz w:val="16"/>
              </w:rPr>
              <w:t>benefit_leakage_gbp_m</w:t>
            </w:r>
          </w:p>
        </w:tc>
        <w:tc>
          <w:tcPr>
            <w:tcW w:type="dxa" w:w="960"/>
          </w:tcPr>
          <w:p>
            <w:r>
              <w:rPr>
                <w:b/>
                <w:sz w:val="16"/>
              </w:rPr>
              <w:t>closure_liability_gbp_m</w:t>
            </w:r>
          </w:p>
        </w:tc>
        <w:tc>
          <w:tcPr>
            <w:tcW w:type="dxa" w:w="960"/>
          </w:tcPr>
          <w:p>
            <w:r>
              <w:rPr>
                <w:b/>
                <w:sz w:val="16"/>
              </w:rPr>
              <w:t>agri_tourism_displacement_gbp_m</w:t>
            </w:r>
          </w:p>
        </w:tc>
        <w:tc>
          <w:tcPr>
            <w:tcW w:type="dxa" w:w="960"/>
          </w:tcPr>
          <w:p>
            <w:r>
              <w:rPr>
                <w:b/>
                <w:sz w:val="16"/>
              </w:rPr>
              <w:t>econ_negative_total_gbp_m</w:t>
            </w:r>
          </w:p>
        </w:tc>
        <w:tc>
          <w:tcPr>
            <w:tcW w:type="dxa" w:w="960"/>
          </w:tcPr>
          <w:p>
            <w:r>
              <w:rPr>
                <w:b/>
                <w:sz w:val="16"/>
              </w:rPr>
              <w:t>boom_bust_var_gbp_m_pa</w:t>
            </w:r>
          </w:p>
        </w:tc>
        <w:tc>
          <w:tcPr>
            <w:tcW w:type="dxa" w:w="960"/>
          </w:tcPr>
          <w:p>
            <w:r>
              <w:rPr>
                <w:b/>
                <w:sz w:val="16"/>
              </w:rPr>
              <w:t>stranded_capital_at_risk_gbp_m</w:t>
            </w:r>
          </w:p>
        </w:tc>
        <w:tc>
          <w:tcPr>
            <w:tcW w:type="dxa" w:w="960"/>
          </w:tcPr>
          <w:p>
            <w:r>
              <w:rPr>
                <w:b/>
                <w:sz w:val="16"/>
              </w:rPr>
              <w:t>net_local_gva_gbp_m</w:t>
            </w:r>
          </w:p>
        </w:tc>
      </w:tr>
      <w:tr>
        <w:tc>
          <w:tcPr>
            <w:tcW w:type="dxa" w:w="960"/>
          </w:tcPr>
          <w:p>
            <w:r>
              <w:rPr>
                <w:sz w:val="16"/>
              </w:rPr>
              <w:t>1_baseline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Baseline (current trajectory)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135.6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0.0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0.0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135.6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2.19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0.0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652.7</w:t>
            </w:r>
          </w:p>
        </w:tc>
      </w:tr>
      <w:tr>
        <w:tc>
          <w:tcPr>
            <w:tcW w:type="dxa" w:w="960"/>
          </w:tcPr>
          <w:p>
            <w:r>
              <w:rPr>
                <w:sz w:val="16"/>
              </w:rPr>
              <w:t>2_circular_innovation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Circular innovation (no new mine)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162.4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0.0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0.0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162.4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2.19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0.0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780.3</w:t>
            </w:r>
          </w:p>
        </w:tc>
      </w:tr>
      <w:tr>
        <w:tc>
          <w:tcPr>
            <w:tcW w:type="dxa" w:w="960"/>
          </w:tcPr>
          <w:p>
            <w:r>
              <w:rPr>
                <w:sz w:val="16"/>
              </w:rPr>
              <w:t>3_primary_unmanaged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Primary extraction (lightly managed, no local content)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171.2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72.3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115.9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359.4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6.26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125.0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639.3</w:t>
            </w:r>
          </w:p>
        </w:tc>
      </w:tr>
      <w:tr>
        <w:tc>
          <w:tcPr>
            <w:tcW w:type="dxa" w:w="960"/>
          </w:tcPr>
          <w:p>
            <w:r>
              <w:rPr>
                <w:sz w:val="16"/>
              </w:rPr>
              <w:t>4_integrated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Integrated circular + primary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118.8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36.6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69.6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225.0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6.25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72.5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927.5</w:t>
            </w:r>
          </w:p>
        </w:tc>
      </w:tr>
      <w:tr>
        <w:tc>
          <w:tcPr>
            <w:tcW w:type="dxa" w:w="960"/>
          </w:tcPr>
          <w:p>
            <w:r>
              <w:rPr>
                <w:sz w:val="16"/>
              </w:rPr>
              <w:t>5_responsible_managed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Responsible, managed primary (bonded + local content + hedge)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52.4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21.0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54.4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127.8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6.25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69.5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1016.4</w:t>
            </w:r>
          </w:p>
        </w:tc>
      </w:tr>
    </w:tbl>
    <w:p>
      <w:r>
        <w:t>*</w:t>
      </w:r>
      <w:r>
        <w:rPr>
          <w:rFonts w:ascii="Consolas" w:hAnsi="Consolas"/>
        </w:rPr>
        <w:t>econ_negative_total</w:t>
      </w:r>
      <w:r>
        <w:t xml:space="preserve"> = leakage + closure liability + agri/tourism displacement (the deterministic GVA-equivalent losses). </w:t>
      </w:r>
      <w:r>
        <w:rPr>
          <w:rFonts w:ascii="Consolas" w:hAnsi="Consolas"/>
        </w:rPr>
        <w:t>boom_bust_var</w:t>
      </w:r>
      <w:r>
        <w:t xml:space="preserve"> (annual revenue-at-risk) and </w:t>
      </w:r>
      <w:r>
        <w:rPr>
          <w:rFonts w:ascii="Consolas" w:hAnsi="Consolas"/>
        </w:rPr>
        <w:t>stranded_capital_at_risk</w:t>
      </w:r>
      <w:r>
        <w:t xml:space="preserve"> are risk exposures, reported separately. </w:t>
      </w:r>
      <w:r>
        <w:rPr>
          <w:rFonts w:ascii="Consolas" w:hAnsi="Consolas"/>
        </w:rPr>
        <w:t>net_local_gva</w:t>
      </w:r>
      <w:r>
        <w:t xml:space="preserve"> = discounted GVA minus the deterministic negatives.*</w:t>
      </w:r>
    </w:p>
    <w:p>
      <w:pPr>
        <w:pStyle w:val="Heading2"/>
      </w:pPr>
      <w:r>
        <w:t>Findings</w:t>
      </w:r>
    </w:p>
    <w:p>
      <w:pPr>
        <w:pStyle w:val="ListNumber"/>
      </w:pPr>
      <w:r>
        <w:rPr>
          <w:b/>
        </w:rPr>
        <w:t>Primary extraction carries the heavy economic-negative load.</w:t>
      </w:r>
      <w:r>
        <w:t xml:space="preserve"> Lightly managed, it runs </w:t>
      </w:r>
      <w:r>
        <w:rPr>
          <w:b/>
        </w:rPr>
        <w:t>£359m</w:t>
      </w:r>
      <w:r>
        <w:t xml:space="preserve"> of deterministic economic negatives (leakage £171m + closure liability £72m + displacement £116m), i.e. 36% of its discounted GVA, </w:t>
      </w:r>
      <w:r>
        <w:rPr>
          <w:b/>
        </w:rPr>
        <w:t>plus</w:t>
      </w:r>
      <w:r>
        <w:t xml:space="preserve"> £125m of contested capital at risk and ~£6.3m/yr of price-volatility exposure — and a closure cliff of ~£20.9m GVA / 722 jobs that vanish when the mine closes.</w:t>
      </w:r>
    </w:p>
    <w:p>
      <w:pPr>
        <w:pStyle w:val="ListNumber"/>
      </w:pPr>
      <w:r>
        <w:rPr>
          <w:b/>
        </w:rPr>
        <w:t>Circular activity avoids almost all of it.</w:t>
      </w:r>
      <w:r>
        <w:t xml:space="preserve"> With no new mine the circular scenario has </w:t>
      </w:r>
      <w:r>
        <w:rPr>
          <w:b/>
        </w:rPr>
        <w:t>no</w:t>
      </w:r>
      <w:r>
        <w:t xml:space="preserve"> closure liability, displacement, boom-bust or stranded-capital risk — its only economic negative is residual leakage (£162m), so its economic-negative intensity (17%) is far below primary (36%). Recycling is the low-economic-risk route to the same supply security.</w:t>
      </w:r>
    </w:p>
    <w:p>
      <w:pPr>
        <w:pStyle w:val="ListNumber"/>
      </w:pPr>
      <w:r>
        <w:rPr>
          <w:b/>
        </w:rPr>
        <w:t>Responsible, managed development materially mitigates the negatives.</w:t>
      </w:r>
      <w:r>
        <w:t xml:space="preserve"> Bonded closure + progressive rehabilitation + local-content/skills + a circular hedge cut the managed scenario's economic negatives to </w:t>
      </w:r>
      <w:r>
        <w:rPr>
          <w:b/>
        </w:rPr>
        <w:t>£128m</w:t>
      </w:r>
      <w:r>
        <w:t xml:space="preserve"> (vs £359m unmanaged) and its stranded-capital risk to £70m — chiefly by lifting local retention to 92% (leakage £171m → £52m) and bonding closure (liability £72m → £21m).</w:t>
      </w:r>
    </w:p>
    <w:p>
      <w:pPr>
        <w:pStyle w:val="ListNumber"/>
      </w:pPr>
      <w:r>
        <w:rPr>
          <w:b/>
        </w:rPr>
        <w:t>So the net local benefit depends on *how* minerals are developed.</w:t>
      </w:r>
      <w:r>
        <w:t xml:space="preserve"> Net local GVA after the economic negatives is £639m (unmanaged primary) vs £1,016m (responsible managed) vs £928m (integrated) — the same headline activity yields very different *retained* value once leakage, closure and displacement are counted. This is the economic mirror of the Q2.5/Q2.6 retained-benefit point.</w:t>
      </w:r>
    </w:p>
    <w:p>
      <w:pPr>
        <w:pStyle w:val="ListNumber"/>
      </w:pPr>
      <w:r>
        <w:rPr>
          <w:b/>
        </w:rPr>
        <w:t>Read with Q2.6.</w:t>
      </w:r>
      <w:r>
        <w:t xml:space="preserve"> Q2.6 reports the gross economic *benefits*; this question nets off the economic *costs/risks*. The honest figure for a contested primary mine is the </w:t>
      </w:r>
      <w:r>
        <w:rPr>
          <w:b/>
        </w:rPr>
        <w:t>net</w:t>
      </w:r>
      <w:r>
        <w:t xml:space="preserve"> — and it is most negative when the project is lightly managed, import-dependent and unhedged.</w:t>
      </w:r>
    </w:p>
    <w:p>
      <w:pPr>
        <w:pStyle w:val="Heading2"/>
      </w:pPr>
      <w:r>
        <w:t>How to minimise the economic negatives</w:t>
      </w:r>
    </w:p>
    <w:p>
      <w:pPr>
        <w:pStyle w:val="ListBullet"/>
      </w:pPr>
      <w:r>
        <w:rPr>
          <w:b/>
        </w:rPr>
        <w:t>Cut leakage:</w:t>
      </w:r>
      <w:r>
        <w:t xml:space="preserve"> local-supplier development + a skills pipeline (Q2.5) keep GVA/jobs in NI (retention ~70% → ~92% in the managed scenario).</w:t>
      </w:r>
    </w:p>
    <w:p>
      <w:pPr>
        <w:pStyle w:val="ListBullet"/>
      </w:pPr>
      <w:r>
        <w:rPr>
          <w:b/>
        </w:rPr>
        <w:t>De-risk closure:</w:t>
      </w:r>
      <w:r>
        <w:t xml:space="preserve"> mandate </w:t>
      </w:r>
      <w:r>
        <w:rPr>
          <w:b/>
        </w:rPr>
        <w:t>bonded</w:t>
      </w:r>
      <w:r>
        <w:t xml:space="preserve"> mine-closure and progressive rehabilitation so remediation is not a public liability and land returns to productive (agri/tourism) use sooner.</w:t>
      </w:r>
    </w:p>
    <w:p>
      <w:pPr>
        <w:pStyle w:val="ListBullet"/>
      </w:pPr>
      <w:r>
        <w:rPr>
          <w:b/>
        </w:rPr>
        <w:t>Protect agriculture &amp; tourism:</w:t>
      </w:r>
      <w:r>
        <w:t xml:space="preserve"> site selection, buffer zones and rehabilitation to limit displaced rural output; weigh it explicitly against mining GVA.</w:t>
      </w:r>
    </w:p>
    <w:p>
      <w:pPr>
        <w:pStyle w:val="ListBullet"/>
      </w:pPr>
      <w:r>
        <w:rPr>
          <w:b/>
        </w:rPr>
        <w:t>Damp boom-bust:</w:t>
      </w:r>
      <w:r>
        <w:t xml:space="preserve"> offtake + price-floor contracts (cf. Q2.3) and economic diversification reduce revenue-at-risk and the closure-cliff shock.</w:t>
      </w:r>
    </w:p>
    <w:p>
      <w:pPr>
        <w:pStyle w:val="ListBullet"/>
      </w:pPr>
      <w:r>
        <w:rPr>
          <w:b/>
        </w:rPr>
        <w:t>Avoid stranded capital:</w:t>
      </w:r>
      <w:r>
        <w:t xml:space="preserve"> pair any contested primary project with circular (recovery) capacity as a hedge, and stage capital against permitting milestones.</w:t>
      </w:r>
    </w:p>
    <w:p>
      <w:pPr>
        <w:pStyle w:val="Heading2"/>
      </w:pPr>
      <w:r>
        <w:t>Sources &amp; assumptions</w:t>
      </w:r>
    </w:p>
    <w:p>
      <w:pPr>
        <w:pStyle w:val="ListBullet"/>
      </w:pPr>
      <w:r>
        <w:t>Minviro Final Report sec 2.2.5 (retained employment) + Galmoy/Lisheen leakage comparison — benefits can be 'economically detached from the regions'</w:t>
      </w:r>
    </w:p>
    <w:p>
      <w:pPr>
        <w:pStyle w:val="ListBullet"/>
      </w:pPr>
      <w:r>
        <w:t>Minviro Final Report sec 1.4.6.8 'Mine Closure' (Fig 1.33 closure-cost estimates) — closure/remediation cost and the bonded-vs-public-liability distinction</w:t>
      </w:r>
    </w:p>
    <w:p>
      <w:pPr>
        <w:pStyle w:val="ListBullet"/>
      </w:pPr>
      <w:r>
        <w:t>Minviro Final Report sec 3.4.2.4 (Agriculture) / 3.4.2.5 (Tourism) — host-area displacement of farming and tourism output</w:t>
      </w:r>
    </w:p>
    <w:p>
      <w:pPr>
        <w:pStyle w:val="ListBullet"/>
      </w:pPr>
      <w:r>
        <w:t>Minviro Final Report / Appendix A — commodity price volatility and volatile inflows (boom-bust revenue-at-risk)</w:t>
      </w:r>
    </w:p>
    <w:p>
      <w:pPr>
        <w:pStyle w:val="ListBullet"/>
      </w:pPr>
      <w:r>
        <w:t>Dalradian Curraghinalt (company_register.csv; Guardian 2026) — ~£250m proposed capital, ~21-yr planning inquiry: sunk/stranded-capital risk on a contested long-lead project</w:t>
      </w:r>
    </w:p>
    <w:p>
      <w:pPr>
        <w:pStyle w:val="ListBullet"/>
      </w:pPr>
      <w:r>
        <w:t>Parameters (life-of-mine 18 yr, closure cost £35m/mine, agri+tourism displacement £3m/mine-yr, price volatility 0.30, base retention 0.70) are PROXY/desk values in data_register.csv — replace with NISRA agri/tourism GVA-by-district, site closure-cost estimates and a firm-level local-content survey to calibrate</w:t>
      </w:r>
    </w:p>
    <w:p>
      <w:r>
        <w:t>*Economic-negative magnitudes are illustrative under stated proxy assumptions, not forecasts; the robust message is the ranking (primary &gt; integrated &gt; managed; circular lowest) and that local content, bonded closure and a circular hedge are the levers that minimise the economic downside.*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