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Q2.4 — What role should government have in ensuring secure mineral supply?</w:t>
      </w:r>
    </w:p>
    <w:p>
      <w:r>
        <w:rPr>
          <w:b/>
        </w:rPr>
        <w:t>Method (grounded in the strategy documents):</w:t>
      </w:r>
      <w:r>
        <w:t xml:space="preserve"> Vision 2035 warns that *"increasingly concentrated processing and mining supply chains"* leave supply *"vulnerable to shocks such as natural disasters, war or geopolitical fallout"*. We model that as a </w:t>
      </w:r>
      <w:r>
        <w:rPr>
          <w:b/>
        </w:rPr>
        <w:t>dominant-supplier export ban</w:t>
      </w:r>
      <w:r>
        <w:t xml:space="preserve"> — per-mineral import caps = 1 − (2023 single-country concentration: REE 74% China, Co 70% DRC, Li 44% Australia; BGS/Idoine 2025) — escalated from trade friction to bloc fragmentation, plus a </w:t>
      </w:r>
      <w:r>
        <w:rPr>
          <w:b/>
        </w:rPr>
        <w:t>Monte Carlo</w:t>
      </w:r>
      <w:r>
        <w:t xml:space="preserve"> of uncertain shocks (random onset, affected minerals ∝ concentration, severity). The five </w:t>
      </w:r>
      <w:r>
        <w:rPr>
          <w:b/>
        </w:rPr>
        <w:t>government roles</w:t>
      </w:r>
      <w:r>
        <w:t xml:space="preserve"> are the postures the strategy itself describes — *optimise domestic production* and *build resilient UK &amp; global supply networks* (incl. partnerships, diversification, stockpiling and circular capability). Metrics are the Vision-2035 / EU-CRMA secure-supply targets (≥10% domestic, ≥20% recycled, ≤60% single-country) plus an HHI-style supply-risk index and the unmet-demand supply gap. Following </w:t>
      </w:r>
      <w:r>
        <w:rPr>
          <w:b/>
        </w:rPr>
        <w:t>IEA 2025</w:t>
      </w:r>
      <w:r>
        <w:t xml:space="preserve"> — which finds top-three-producer concentration for key minerals rose to </w:t>
      </w:r>
      <w:r>
        <w:rPr>
          <w:b/>
        </w:rPr>
        <w:t>~86% in 2024</w:t>
      </w:r>
      <w:r>
        <w:t xml:space="preserve"> and that China refines </w:t>
      </w:r>
      <w:r>
        <w:rPr>
          <w:b/>
        </w:rPr>
        <w:t>19 of 20</w:t>
      </w:r>
      <w:r>
        <w:t xml:space="preserve"> strategic minerals (~70% average), with export controls now touching </w:t>
      </w:r>
      <w:r>
        <w:rPr>
          <w:b/>
        </w:rPr>
        <w:t>~55%</w:t>
      </w:r>
      <w:r>
        <w:t xml:space="preserve"> of energy-related strategic minerals — we also report a </w:t>
      </w:r>
      <w:r>
        <w:rPr>
          <w:b/>
        </w:rPr>
        <w:t>top-three (mine) exposure</w:t>
      </w:r>
      <w:r>
        <w:t xml:space="preserve"> and a </w:t>
      </w:r>
      <w:r>
        <w:rPr>
          <w:b/>
        </w:rPr>
        <w:t>refining/processing exposure</w:t>
      </w:r>
      <w:r>
        <w:t xml:space="preserve"> beside single-country exposure, because the security problem is increasingly *midstream*, not just mine supply. Figures are model behaviour, not forecasts.</w:t>
      </w:r>
    </w:p>
    <w:p>
      <w:pPr>
        <w:pStyle w:val="Heading2"/>
      </w:pPr>
      <w:r>
        <w:t>Roles tested</w:t>
      </w:r>
    </w:p>
    <w:p>
      <w:pPr>
        <w:pStyle w:val="ListBullet"/>
      </w:pPr>
      <w:r>
        <w:rPr>
          <w:b/>
        </w:rPr>
        <w:t>market_light_touch</w:t>
      </w:r>
      <w:r>
        <w:t xml:space="preserve"> — Market / light-touch</w:t>
      </w:r>
    </w:p>
    <w:p>
      <w:pPr>
        <w:pStyle w:val="ListBullet"/>
      </w:pPr>
      <w:r>
        <w:rPr>
          <w:b/>
        </w:rPr>
        <w:t>diversify_and_insure</w:t>
      </w:r>
      <w:r>
        <w:t xml:space="preserve"> — Diversify &amp; insure (partnerships + stockpile)</w:t>
      </w:r>
    </w:p>
    <w:p>
      <w:pPr>
        <w:pStyle w:val="ListBullet"/>
      </w:pPr>
      <w:r>
        <w:rPr>
          <w:b/>
        </w:rPr>
        <w:t>domestic_autonomy</w:t>
      </w:r>
      <w:r>
        <w:t xml:space="preserve"> — Domestic autonomy (build primary)</w:t>
      </w:r>
    </w:p>
    <w:p>
      <w:pPr>
        <w:pStyle w:val="ListBullet"/>
      </w:pPr>
      <w:r>
        <w:rPr>
          <w:b/>
        </w:rPr>
        <w:t>circular_leader</w:t>
      </w:r>
      <w:r>
        <w:t xml:space="preserve"> — Circular leader (recover + recycle)</w:t>
      </w:r>
    </w:p>
    <w:p>
      <w:pPr>
        <w:pStyle w:val="ListBullet"/>
      </w:pPr>
      <w:r>
        <w:rPr>
          <w:b/>
        </w:rPr>
        <w:t>strategic_coordinator</w:t>
      </w:r>
      <w:r>
        <w:t xml:space="preserve"> — Strategic coordinator (balanced portfolio)</w:t>
      </w:r>
    </w:p>
    <w:p>
      <w:pPr>
        <w:pStyle w:val="Heading2"/>
      </w:pPr>
      <w:r>
        <w:t>Resilience under uncertainty (Monte Carlo, 120 random shocks)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mean_supply_gap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p90_supply_gap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worst_supply_gap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mean_single_country_exposure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disc_public_cost_gbp_m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market_light_touch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0.144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0.262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0.623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diversify_and_insure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0.056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0.252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121.8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domestic_autonomy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121.1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circular_leader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0.098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0.185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0.607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354.1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strategic_coordinator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0.034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0.079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0.159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0.427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515.9</w:t>
            </w:r>
          </w:p>
        </w:tc>
      </w:tr>
    </w:tbl>
    <w:p>
      <w:pPr>
        <w:pStyle w:val="ListBullet"/>
      </w:pPr>
      <w:r>
        <w:rPr>
          <w:b/>
        </w:rPr>
        <w:t>Most resilient posture (lowest tail risk): `strategic_coordinator`</w:t>
      </w:r>
      <w:r>
        <w:t xml:space="preserve"> (Strategic coordinator (balanced portfolio)) — 90th-percentile supply gap 8% vs 14% under light-touch.</w:t>
      </w:r>
    </w:p>
    <w:p>
      <w:pPr>
        <w:pStyle w:val="Heading2"/>
      </w:pPr>
      <w:r>
        <w:t>Secure-supply metrics under an export-ban shock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crit_domestic_share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crit_recycled_share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crit_import_share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single_country_exposure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supply_risk_index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mean_supply_gap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cum_disc_gva_gbp_m</w:t>
            </w:r>
          </w:p>
        </w:tc>
        <w:tc>
          <w:tcPr>
            <w:tcW w:type="dxa" w:w="960"/>
          </w:tcPr>
          <w:p>
            <w:r>
              <w:rPr>
                <w:b/>
                <w:sz w:val="16"/>
              </w:rPr>
              <w:t>disc_public_cost_gbp_m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market_light_touch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0.129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771.5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diversify_and_insure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0.158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0.143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772.3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121.8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domestic_autonomy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0.634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0.105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989.6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121.1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circular_leader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0.011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0.204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0.246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0.223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0.069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1008.5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354.1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strategic_coordinator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0.076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0.61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0.154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0.063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1210.7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515.9</w:t>
            </w:r>
          </w:p>
        </w:tc>
      </w:tr>
    </w:tbl>
    <w:p>
      <w:r>
        <w:t xml:space="preserve">Vision-2035 targets: domestic ≥10%, recycled ≥20%, single-country ≤60%. </w:t>
      </w:r>
      <w:r>
        <w:rPr>
          <w:b/>
        </w:rPr>
        <w:t>EU-CRMA stretch (2030, for NI's potential EU-market exposure under the Windsor Framework):</w:t>
      </w:r>
      <w:r>
        <w:t xml:space="preserve"> recycling ≥25%, single third country ≤65%.</w:t>
      </w:r>
    </w:p>
    <w:p>
      <w:pPr>
        <w:pStyle w:val="Heading2"/>
      </w:pPr>
      <w:r>
        <w:t>Midstream concentration risk (IEA 2025) — beyond single-country exposure</w:t>
      </w:r>
    </w:p>
    <w:p>
      <w:r>
        <w:t xml:space="preserve">Single-country exposure understates the problem: the IEA shows the binding risk is now </w:t>
      </w:r>
      <w:r>
        <w:rPr>
          <w:b/>
        </w:rPr>
        <w:t>top-three</w:t>
      </w:r>
      <w:r>
        <w:t xml:space="preserve"> mine concentration and </w:t>
      </w:r>
      <w:r>
        <w:rPr>
          <w:b/>
        </w:rPr>
        <w:t>refining</w:t>
      </w:r>
      <w:r>
        <w:t xml:space="preserve"> concentration. The model's second/third indices under the export-ban shock (demand-weighted critical-mineral exposure; lower is safer):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single_country_exposure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top3_exposure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refining_exposure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export_control_exposure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market_light_touch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diversify_and_insure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domestic_autonomy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0.348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circular_leader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strategic_coordinator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0.006</w:t>
            </w:r>
          </w:p>
        </w:tc>
      </w:tr>
    </w:tbl>
    <w:p>
      <w:pPr>
        <w:pStyle w:val="ListBullet"/>
      </w:pPr>
      <w:r>
        <w:rPr>
          <w:b/>
        </w:rPr>
        <w:t>Top-three and refining exposure dwarf single-country exposure.</w:t>
      </w:r>
      <w:r>
        <w:t xml:space="preserve"> Under the export ban the worst-exposed critical mineral carries a top-three exposure ~2× its single-country figure, and demand-weighted refining exposure is also markedly higher — confirming the IEA finding that the binding risk is structural top-three *cluster* and *midstream* concentration, not just one country.</w:t>
      </w:r>
    </w:p>
    <w:p>
      <w:pPr>
        <w:pStyle w:val="ListBullet"/>
      </w:pPr>
      <w:r>
        <w:rPr>
          <w:b/>
        </w:rPr>
        <w:t>Refining exposure is the *stickiest*.</w:t>
      </w:r>
      <w:r>
        <w:t xml:space="preserve"> Diversifying *mine* imports (the diversification lever) lowers single-country and partly top-three exposure, but does </w:t>
      </w:r>
      <w:r>
        <w:rPr>
          <w:b/>
        </w:rPr>
        <w:t>not</w:t>
      </w:r>
      <w:r>
        <w:t xml:space="preserve"> cut refining dependence — that only falls as NI builds domestic processing/recovery capacity (lowering the import share itself). This is the model's clearest statement of *why the midstream is the security priority* (links to Q2.1/Q2.3): the coordinator and circular-leader roles, which build recovery capacity, are the only ones that move the refining-exposure needle.</w:t>
      </w:r>
    </w:p>
    <w:p>
      <w:pPr>
        <w:pStyle w:val="ListBullet"/>
      </w:pPr>
      <w:r>
        <w:rPr>
          <w:b/>
        </w:rPr>
        <w:t>Export controls hit the high-criticality tail.</w:t>
      </w:r>
      <w:r>
        <w:t xml:space="preserve"> ~55% of energy-related strategic minerals now face controls; the model flags </w:t>
      </w:r>
      <w:r>
        <w:rPr>
          <w:b/>
        </w:rPr>
        <w:t>REE, antimony and cobalt</w:t>
      </w:r>
      <w:r>
        <w:t>. These are tiny by *tonnage* (so the demand-weighted export-control exposure reads low) yet high-criticality — exactly why a tonnage view *understates* the strategic risk, and why recovery capacity + diversification targeted at these specific minerals matters more than their volume suggests.</w:t>
      </w:r>
    </w:p>
    <w:p>
      <w:pPr>
        <w:pStyle w:val="Heading2"/>
      </w:pPr>
      <w:r>
        <w:t>Findings — the role government should play</w:t>
      </w:r>
    </w:p>
    <w:p>
      <w:pPr>
        <w:pStyle w:val="ListNumber"/>
      </w:pPr>
      <w:r>
        <w:rPr>
          <w:b/>
        </w:rPr>
        <w:t>NI is structurally over-concentrated, and diversification is the lever that most directly cuts single-country exposure.</w:t>
      </w:r>
      <w:r>
        <w:t xml:space="preserve"> In normal times single-country exposure is ~85% under light-touch — far above the ≤60% target. Diversify-&amp;-insure meets the single-country target in stable conditions (54%); the coordinator comes close (61%) while also improving domestic, recycling and refining-resilience metrics. (Note: exposure *falls* under an actual export ban only because access to the dominant supplier is lost — that shows up instead as a </w:t>
      </w:r>
      <w:r>
        <w:rPr>
          <w:b/>
        </w:rPr>
        <w:t>supply gap</w:t>
      </w:r>
      <w:r>
        <w:t>, so the two must be read together.)</w:t>
      </w:r>
    </w:p>
    <w:p>
      <w:pPr>
        <w:pStyle w:val="ListNumber"/>
      </w:pPr>
      <w:r>
        <w:rPr>
          <w:b/>
        </w:rPr>
        <w:t>Light-touch is not an option for security.</w:t>
      </w:r>
      <w:r>
        <w:t xml:space="preserve"> Under a dominant-supplier export ban the market posture leaves the widest supply gap and highest residual exposure — security is a public good the market under-provides.</w:t>
      </w:r>
    </w:p>
    <w:p>
      <w:pPr>
        <w:pStyle w:val="ListNumber"/>
      </w:pPr>
      <w:r>
        <w:rPr>
          <w:b/>
        </w:rPr>
        <w:t>No single instrument is sufficient.</w:t>
      </w:r>
      <w:r>
        <w:t xml:space="preserve"> *Diversification + a stockpile* cut single-country exposure and bridge the immediate gap but build no domestic capability; *domestic autonomy* is slow and constrained by social licence and geology; *circular leadership* builds durable secondary supply but is feedstock-limited and cannot cover a broad shock alone.</w:t>
      </w:r>
    </w:p>
    <w:p>
      <w:pPr>
        <w:pStyle w:val="ListNumber"/>
      </w:pPr>
      <w:r>
        <w:rPr>
          <w:b/>
        </w:rPr>
        <w:t>A balanced *strategic-coordinator* role is the most robust</w:t>
      </w:r>
      <w:r>
        <w:t xml:space="preserve"> across the shock range and the Monte-Carlo tail: it diversifies imports, holds a thin reserve to bridge, builds circular capacity for durable secondary supply, and brings responsible primary forward where social licence allows. It improves all three Vision-2035 indicators while adding GVA, but should be read as closest/most robust rather than fully target-compliant in every state.</w:t>
      </w:r>
    </w:p>
    <w:p>
      <w:r>
        <w:t xml:space="preserve">4a. </w:t>
      </w:r>
      <w:r>
        <w:rPr>
          <w:b/>
        </w:rPr>
        <w:t>Target-compliance caveat:</w:t>
      </w:r>
      <w:r>
        <w:t xml:space="preserve"> the coordinator is the best-balanced / most robust posture, but it is not fully target-compliant in every state. Stable single-country exposure sits just above the UK &lt;=60% threshold after rounding, domestic share remains below 10%, and some recycled-share results sit just under 20%. Treat it as the closest portfolio, not a claim that every Vision-2035 threshold is met.</w:t>
      </w:r>
    </w:p>
    <w:p>
      <w:r>
        <w:t xml:space="preserve">4b. </w:t>
      </w:r>
      <w:r>
        <w:rPr>
          <w:b/>
        </w:rPr>
        <w:t>The coordinator role has institutional backing in the UK Industrial Strategy:</w:t>
      </w:r>
      <w:r>
        <w:t xml:space="preserve"> an enhanced </w:t>
      </w:r>
      <w:r>
        <w:rPr>
          <w:b/>
        </w:rPr>
        <w:t>Critical Minerals Intelligence Centre</w:t>
      </w:r>
      <w:r>
        <w:t xml:space="preserve"> (horizon scanning = the *monitoring* function), </w:t>
      </w:r>
      <w:r>
        <w:rPr>
          <w:b/>
        </w:rPr>
        <w:t>MoD/DSIT/DBT prioritisation of critical supply chains</w:t>
      </w:r>
      <w:r>
        <w:t xml:space="preserve"> (defence resilience + stockpiling), and an explicit aim to use </w:t>
      </w:r>
      <w:r>
        <w:rPr>
          <w:b/>
        </w:rPr>
        <w:t>circular practices to boost resilient supply chains</w:t>
      </w:r>
      <w:r>
        <w:t xml:space="preserve"> — i.e. recycling capacity is itself a security instrument, linking Q2.4 to Q2.1/Q2.7.</w:t>
      </w:r>
    </w:p>
    <w:p>
      <w:pPr>
        <w:pStyle w:val="ListNumber"/>
      </w:pPr>
      <w:r>
        <w:rPr>
          <w:b/>
        </w:rPr>
        <w:t>The government's role is therefore an active *coordinator/insurer*, not a producer or a bystander:</w:t>
      </w:r>
      <w:r>
        <w:t xml:space="preserve"> set the targets, de-risk midstream capacity (finance + offtake), fix feedstock collection, diversify and insure against the tail with partnerships + a strategic reserve, and uphold high-ESG/community-benefit terms. This is exactly what Vision 2035 describes — *"joint action between industry and government … in a more coordinated way"* across its dual objective of *optimising domestic production* and *building resilient UK &amp; global supply networks*. The model finds that the posture the strategy actually adopts is also the most robust.</w:t>
      </w:r>
    </w:p>
    <w:p>
      <w:pPr>
        <w:pStyle w:val="Heading2"/>
      </w:pPr>
      <w:r>
        <w:t>Evidence on intervention effectiveness (real-world)</w:t>
      </w:r>
    </w:p>
    <w:p>
      <w:pPr>
        <w:pStyle w:val="ListBullet"/>
      </w:pPr>
      <w:r>
        <w:rPr>
          <w:b/>
        </w:rPr>
        <w:t>Japan is a validated natural experiment for exactly this policy mix.</w:t>
      </w:r>
      <w:r>
        <w:t xml:space="preserve"> After China's 2010 rare-earth export ban, Japan cut its dependence on Chinese REE from </w:t>
      </w:r>
      <w:r>
        <w:rPr>
          <w:b/>
        </w:rPr>
        <w:t>~90% to ~58%</w:t>
      </w:r>
      <w:r>
        <w:t xml:space="preserve"> (now targeting &lt;50%) through a *coordinated* programme: strategic stockpiling </w:t>
      </w:r>
      <w:r>
        <w:rPr>
          <w:b/>
        </w:rPr>
        <w:t>+</w:t>
      </w:r>
      <w:r>
        <w:t xml:space="preserve"> overseas equity/offtake (JOGMEC brokered a </w:t>
      </w:r>
      <w:r>
        <w:rPr>
          <w:b/>
        </w:rPr>
        <w:t>$250m Sojitz–Lynas</w:t>
      </w:r>
      <w:r>
        <w:t xml:space="preserve"> deal — equity &amp; loans for guaranteed supply) </w:t>
      </w:r>
      <w:r>
        <w:rPr>
          <w:b/>
        </w:rPr>
        <w:t>+</w:t>
      </w:r>
      <w:r>
        <w:t xml:space="preserve"> recycling </w:t>
      </w:r>
      <w:r>
        <w:rPr>
          <w:b/>
        </w:rPr>
        <w:t>+</w:t>
      </w:r>
      <w:r>
        <w:t xml:space="preserve"> substitution. This is real-world confirmation that the </w:t>
      </w:r>
      <w:r>
        <w:rPr>
          <w:b/>
        </w:rPr>
        <w:t>strategic-coordinator posture works</w:t>
      </w:r>
      <w:r>
        <w:t>, and that diversification is achievable (~one-third+ cut over a decade — the basis for the model's diversification lever).</w:t>
      </w:r>
    </w:p>
    <w:p>
      <w:pPr>
        <w:pStyle w:val="ListBullet"/>
      </w:pPr>
      <w:r>
        <w:rPr>
          <w:b/>
        </w:rPr>
        <w:t>Stockpiles work as a bridge, not a fix (IEA).</w:t>
      </w:r>
      <w:r>
        <w:t xml:space="preserve"> Strategic stocks *"provide an important buffer against sudden disruptions while countries develop new diversified sources"* — the oil SPR is the decades-long precedent. This is exactly the model's finite, depleting reserve: it buys time while capacity and diversification are built.</w:t>
      </w:r>
    </w:p>
    <w:p>
      <w:pPr>
        <w:pStyle w:val="ListBullet"/>
      </w:pPr>
      <w:r>
        <w:rPr>
          <w:b/>
        </w:rPr>
        <w:t>The market moves the wrong way, so light-touch fails (IEA).</w:t>
      </w:r>
      <w:r>
        <w:t xml:space="preserve"> Diversification is *"the cornerstone of energy security, yet critical minerals are moving in the opposite direction"* — concentration is rising and near-term output growth stays with today's dominant producers. Security will not self-correct; active intervention is required.</w:t>
      </w:r>
    </w:p>
    <w:p>
      <w:pPr>
        <w:pStyle w:val="ListBullet"/>
      </w:pPr>
      <w:r>
        <w:rPr>
          <w:b/>
        </w:rPr>
        <w:t>Effective strategies coordinate across government (IEA/OECD).</w:t>
      </w:r>
      <w:r>
        <w:t xml:space="preserve"> The interventions that work align permitting, finance, industrial and environmental policy under a unified strategy — *"a departure from market-led approaches"* — and coordinate stockpile purchase/release internationally to avoid distorting the market. Again the </w:t>
      </w:r>
      <w:r>
        <w:rPr>
          <w:b/>
        </w:rPr>
        <w:t>coordinator</w:t>
      </w:r>
      <w:r>
        <w:t xml:space="preserve"> role.</w:t>
      </w:r>
    </w:p>
    <w:p>
      <w:pPr>
        <w:pStyle w:val="Heading2"/>
      </w:pPr>
      <w:r>
        <w:t>Sources</w:t>
      </w:r>
    </w:p>
    <w:p>
      <w:pPr>
        <w:pStyle w:val="ListBullet"/>
      </w:pPr>
      <w:r>
        <w:t>UK Critical Minerals Strategy — Vision 2035 (DBT): shock taxonomy (natural disasters, war, geopolitical fallout; concentrated processing &amp; mining); two objectives; partnerships, diversification, defence stockpiling, responsible/high-ESG, coordinated industry–government action</w:t>
      </w:r>
    </w:p>
    <w:p>
      <w:pPr>
        <w:pStyle w:val="ListBullet"/>
      </w:pPr>
      <w:r>
        <w:t>EU Critical Raw Materials Act (2024): 10% extraction / 40% processing / 25% recycling / ≤65% single-country benchmarks; strategic stockpiling &amp; monitoring</w:t>
      </w:r>
    </w:p>
    <w:p>
      <w:pPr>
        <w:pStyle w:val="ListBullet"/>
      </w:pPr>
      <w:r>
        <w:t>UK Industrial Strategy 2025: enhanced Critical Minerals Intelligence Centre (monitoring); MoD/DSIT/DBT critical-supply-chain prioritisation; circular practices to boost resilient supply chains</w:t>
      </w:r>
    </w:p>
    <w:p>
      <w:pPr>
        <w:pStyle w:val="ListBullet"/>
      </w:pPr>
      <w:r>
        <w:t>BGS/Idoine et al. (2025) via GSNI OR25042: 2023 single-country supply concentration (REE 74%, Co 70%, Li 44%); ~80% of UK metals exported for processing</w:t>
      </w:r>
    </w:p>
    <w:p>
      <w:pPr>
        <w:pStyle w:val="ListBullet"/>
      </w:pPr>
      <w:r>
        <w:t>Strategic stockpiles: Japan/JOGMEC 60–180 days, Korea/KOMIR 100 days (IEA; CSEP 2025)</w:t>
      </w:r>
    </w:p>
    <w:p>
      <w:pPr>
        <w:pStyle w:val="ListBullet"/>
      </w:pPr>
      <w:r>
        <w:t>Japan post-2010 diversification: China REE dependence ~90%→~58%, targeting &lt;50%; JOGMEC-brokered $250m Sojitz–Lynas equity/offtake deal (CNBC; WEF; New Security Beat 2024)</w:t>
      </w:r>
    </w:p>
    <w:p>
      <w:pPr>
        <w:pStyle w:val="ListBullet"/>
      </w:pPr>
      <w:r>
        <w:t>IEA: stockpiles buffer disruptions 'while countries develop new diversified sources'; 'diversification is the cornerstone of energy security, yet critical minerals are moving in the opposite direction'; effective strategies coordinate across government (IEA Critical Minerals Policy Tracker / Security Programme 2025; OECD 2026)</w:t>
      </w:r>
    </w:p>
    <w:p>
      <w:pPr>
        <w:pStyle w:val="IntenseQuote"/>
      </w:pPr>
      <w:r>
        <w:rPr>
          <w:b/>
        </w:rPr>
        <w:t>Reporting note — critical &amp; growth minerals.</w:t>
      </w:r>
      <w:r>
        <w:t xml:space="preserve"> The Vision 2035 Technical Annex treats </w:t>
      </w:r>
      <w:r>
        <w:rPr>
          <w:b/>
        </w:rPr>
        <w:t>copper as a UK *growth* mineral</w:t>
      </w:r>
      <w:r>
        <w:t xml:space="preserve">, not a current UK *critical* mineral (it is fundamental to advanced manufacturing and clean energy). Copper is kept inside the supply-security basket here (it is strategically central to NI) but is the lowest-concentration, best-diversified member, so the aggregates are best read as </w:t>
      </w:r>
      <w:r>
        <w:rPr>
          <w:b/>
        </w:rPr>
        <w:t>'critical &amp; growth minerals'</w:t>
      </w:r>
      <w:r>
        <w:t xml:space="preserve">. The model also reports the </w:t>
      </w:r>
      <w:r>
        <w:rPr>
          <w:b/>
        </w:rPr>
        <w:t>critical-only</w:t>
      </w:r>
      <w:r>
        <w:t xml:space="preserve"> basket (copper excluded): under the export-ban shock the coordinator role's recycled share is 19.9% on the critical-&amp;-growth basket vs 18.8% critical-only — including copper modestly flatters the headline share, which is exactly why copper is flagged separately.</w:t>
      </w:r>
    </w:p>
    <w:p>
      <w:r>
        <w:t>*Roles are illustrative lever bundles; costs are NI-scale UK-anchored proxies for relative comparison. Behavioural thresholds and shock magnitudes are PROXY.*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