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Q2.1 — Supporting innovation for circularity in NI minerals</w:t>
      </w:r>
    </w:p>
    <w:p>
      <w:r>
        <w:rPr>
          <w:b/>
        </w:rPr>
        <w:t>Question:</w:t>
      </w:r>
      <w:r>
        <w:t xml:space="preserve"> How can the Department support innovation that will support circularity — materials recovery, secondary materials markets, recycling and circular design in manufacturing?</w:t>
      </w:r>
    </w:p>
    <w:p>
      <w:r>
        <w:rPr>
          <w:b/>
        </w:rPr>
        <w:t>Method:</w:t>
      </w:r>
      <w:r>
        <w:t xml:space="preserve"> seven candidate interventions were mapped onto the firm-grounded ABM (agents = named NI operators) and run individually and as a combined package over 30 years (STPR 3.5%). Metrics below are model behaviour, not forecasts; public-cost figures are notional and used only for *relative* ROI ranking.</w:t>
      </w:r>
    </w:p>
    <w:p>
      <w:pPr>
        <w:pStyle w:val="Heading2"/>
      </w:pPr>
      <w:r>
        <w:t>Interventions tested</w:t>
      </w:r>
    </w:p>
    <w:p>
      <w:pPr>
        <w:pStyle w:val="ListBullet"/>
      </w:pPr>
      <w:r>
        <w:rPr>
          <w:b/>
        </w:rPr>
        <w:t>A_materials_recovery_capital</w:t>
      </w:r>
      <w:r>
        <w:t xml:space="preserve"> (materials recovery): Capital-grant + green-tariff scheme for recovery/separation plant (scales Ionic-type REE separation and battery/WEEE recovery).</w:t>
      </w:r>
    </w:p>
    <w:p>
      <w:pPr>
        <w:pStyle w:val="ListBullet"/>
      </w:pPr>
      <w:r>
        <w:rPr>
          <w:b/>
        </w:rPr>
        <w:t>B_circular_innovation_fund</w:t>
      </w:r>
      <w:r>
        <w:t xml:space="preserve"> (materials recovery + circular design): Circular Innovation Fund: co-funded R&amp;D with QUB/Met4Tech/Ionic on recovery yield and design-for-disassembly.</w:t>
      </w:r>
    </w:p>
    <w:p>
      <w:pPr>
        <w:pStyle w:val="ListBullet"/>
      </w:pPr>
      <w:r>
        <w:rPr>
          <w:b/>
        </w:rPr>
        <w:t>C_smart_collection_drs</w:t>
      </w:r>
      <w:r>
        <w:t xml:space="preserve"> (recycling / collection): Smart collection + deposit-return + WEEE/ELV stewardship with Re-Gen/RiverRidge/Bryson; digital product passports.</w:t>
      </w:r>
    </w:p>
    <w:p>
      <w:pPr>
        <w:pStyle w:val="ListBullet"/>
      </w:pPr>
      <w:r>
        <w:rPr>
          <w:b/>
        </w:rPr>
        <w:t>D_secondary_market_offtake</w:t>
      </w:r>
      <w:r>
        <w:t xml:space="preserve"> (secondary materials markets): Secondary-materials marketplace + public offtake guarantees and minimum recycled-content in public contracts.</w:t>
      </w:r>
    </w:p>
    <w:p>
      <w:pPr>
        <w:pStyle w:val="ListBullet"/>
      </w:pPr>
      <w:r>
        <w:rPr>
          <w:b/>
        </w:rPr>
        <w:t>E_circular_design_standards</w:t>
      </w:r>
      <w:r>
        <w:t xml:space="preserve"> (circular design in manufacturing): Ecodesign / design-for-disassembly standards + passports for Wrightbus, Encirc, Seagate, Spirit.</w:t>
      </w:r>
    </w:p>
    <w:p>
      <w:pPr>
        <w:pStyle w:val="ListBullet"/>
      </w:pPr>
      <w:r>
        <w:rPr>
          <w:b/>
        </w:rPr>
        <w:t>F_green_skills_cluster</w:t>
      </w:r>
      <w:r>
        <w:t xml:space="preserve"> (enabling (skills) ): Green-skills academy + minerals/circular cluster (CDE/Terex equipment, FE colleges, QUB).</w:t>
      </w:r>
    </w:p>
    <w:p>
      <w:pPr>
        <w:pStyle w:val="ListBullet"/>
      </w:pPr>
      <w:r>
        <w:rPr>
          <w:b/>
        </w:rPr>
        <w:t>G_integrated_package</w:t>
      </w:r>
      <w:r>
        <w:t xml:space="preserve"> (full Q2.1 mix): Integrated Circular Innovation Package — all instruments together.</w:t>
      </w:r>
    </w:p>
    <w:p>
      <w:pPr>
        <w:pStyle w:val="Heading2"/>
      </w:pPr>
      <w:r>
        <w:t>Headline findings</w:t>
      </w:r>
    </w:p>
    <w:p>
      <w:pPr>
        <w:pStyle w:val="ListNumber"/>
      </w:pPr>
      <w:r>
        <w:rPr>
          <w:b/>
        </w:rPr>
        <w:t>Best value-for-money (GVA ROI): `E_circular_design_standards`</w:t>
      </w:r>
      <w:r>
        <w:t xml:space="preserve"> (~2.21x central; 1.10–4.43x across the cost band) discounted GVA per £ public cost. Ecodesign / design-for-disassembly standards + passports for Wrightbus, Encirc, Seagate, Spirit.</w:t>
      </w:r>
    </w:p>
    <w:p>
      <w:pPr>
        <w:pStyle w:val="ListNumber"/>
      </w:pPr>
      <w:r>
        <w:rPr>
          <w:b/>
        </w:rPr>
        <w:t>Biggest lift in critical-mineral recycled share: `C_smart_collection_drs`</w:t>
      </w:r>
      <w:r>
        <w:t xml:space="preserve"> (+6.3 pp vs baseline).</w:t>
      </w:r>
    </w:p>
    <w:p>
      <w:pPr>
        <w:pStyle w:val="ListNumber"/>
      </w:pPr>
      <w:r>
        <w:rPr>
          <w:b/>
        </w:rPr>
        <w:t>Meets the Vision-2035 20% recycling target:</w:t>
      </w:r>
      <w:r>
        <w:t xml:space="preserve"> </w:t>
      </w:r>
      <w:r>
        <w:rPr>
          <w:rFonts w:ascii="Consolas" w:hAnsi="Consolas"/>
        </w:rPr>
        <w:t>C_smart_collection_drs</w:t>
      </w:r>
      <w:r>
        <w:t xml:space="preserve">, </w:t>
      </w:r>
      <w:r>
        <w:rPr>
          <w:rFonts w:ascii="Consolas" w:hAnsi="Consolas"/>
        </w:rPr>
        <w:t>G_integrated_package</w:t>
      </w:r>
      <w:r>
        <w:t xml:space="preserve"> (target = 20% critical-mineral recycled share).</w:t>
      </w:r>
    </w:p>
    <w:p>
      <w:pPr>
        <w:pStyle w:val="ListNumber"/>
      </w:pPr>
      <w:r>
        <w:rPr>
          <w:b/>
        </w:rPr>
        <w:t>Circular design in manufacturing</w:t>
      </w:r>
      <w:r>
        <w:t xml:space="preserve"> (recycled-content uptake) responds most to </w:t>
      </w:r>
      <w:r>
        <w:rPr>
          <w:rFonts w:ascii="Consolas" w:hAnsi="Consolas"/>
        </w:rPr>
        <w:t>D_secondary_market_offtake</w:t>
      </w:r>
      <w:r>
        <w:t xml:space="preserve"> (59%) and </w:t>
      </w:r>
      <w:r>
        <w:rPr>
          <w:rFonts w:ascii="Consolas" w:hAnsi="Consolas"/>
        </w:rPr>
        <w:t>E_circular_design_standards</w:t>
      </w:r>
      <w:r>
        <w:t xml:space="preserve"> (56%) — but note this raises *design uptake* without raising the *recycled share*, which stays feedstock-constrained until collection (</w:t>
      </w:r>
      <w:r>
        <w:rPr>
          <w:rFonts w:ascii="Consolas" w:hAnsi="Consolas"/>
        </w:rPr>
        <w:t>C</w:t>
      </w:r>
      <w:r>
        <w:t>) is fixed.</w:t>
      </w:r>
    </w:p>
    <w:p>
      <w:pPr>
        <w:pStyle w:val="ListNumber"/>
      </w:pPr>
      <w:r>
        <w:rPr>
          <w:b/>
        </w:rPr>
        <w:t>The integrated package `G_integrated_package`</w:t>
      </w:r>
      <w:r>
        <w:t xml:space="preserve"> delivers the largest absolute gains (+246.7 £m discounted GVA, +6.3 pp recycled share) — confirming the proposal's view that the *mix* beats any single lever.</w:t>
      </w:r>
    </w:p>
    <w:p>
      <w:pPr>
        <w:pStyle w:val="Heading2"/>
      </w:pPr>
      <w:r>
        <w:t>Recommended sequencing</w:t>
      </w:r>
    </w:p>
    <w:p>
      <w:pPr>
        <w:pStyle w:val="ListBullet"/>
      </w:pPr>
      <w:r>
        <w:rPr>
          <w:b/>
        </w:rPr>
        <w:t>Now (highest ROI, low cost):</w:t>
      </w:r>
      <w:r>
        <w:t xml:space="preserve"> demand-side rules — recycled-content public procurement + design-for-disassembly standards + product passports. These pull secondary-materials markets with little public spend.</w:t>
      </w:r>
    </w:p>
    <w:p>
      <w:pPr>
        <w:pStyle w:val="ListBullet"/>
      </w:pPr>
      <w:r>
        <w:rPr>
          <w:b/>
        </w:rPr>
        <w:t>Near-term:</w:t>
      </w:r>
      <w:r>
        <w:t xml:space="preserve"> Circular Innovation Fund (R&amp;D) to raise recovery yields and design capability, anchored on Ionic/QUB/Met4Tech.</w:t>
      </w:r>
    </w:p>
    <w:p>
      <w:pPr>
        <w:pStyle w:val="ListBullet"/>
      </w:pPr>
      <w:r>
        <w:rPr>
          <w:b/>
        </w:rPr>
        <w:t>Capital:</w:t>
      </w:r>
      <w:r>
        <w:t xml:space="preserve"> recovery-plant grants + smart collection/DRS to fix the binding feedstock constraint (low NI critical-mineral waste collection).</w:t>
      </w:r>
    </w:p>
    <w:p>
      <w:pPr>
        <w:pStyle w:val="ListBullet"/>
      </w:pPr>
      <w:r>
        <w:rPr>
          <w:b/>
        </w:rPr>
        <w:t>Enabling:</w:t>
      </w:r>
      <w:r>
        <w:t xml:space="preserve"> green-skills academy + minerals/circular cluster (CDE/Terex).</w:t>
      </w:r>
    </w:p>
    <w:p>
      <w:pPr>
        <w:pStyle w:val="Heading2"/>
      </w:pPr>
      <w:r>
        <w:t>Full results table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6"/>
              </w:rPr>
              <w:t>intervention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crit_recycled_share_end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secondary_value_gbp_m_end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recycling_jobs_end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circular_design_uptake_end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d_recycled_share_pp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d_cum_gva_gbp_m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d_cum_co2_kt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disc_public_cost_gbp_m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gva_roi_central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0_baseline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0.147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63.22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552.2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nan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A_materials_recovery_capital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0.147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63.33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553.2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0.066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60.0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B_circular_innovation_fund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0.147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63.32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553.8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0.532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93.3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C_smart_collection_drs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0.21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93.39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815.3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6.3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245.5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407.3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194.2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1.26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D_secondary_market_offtake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0.147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63.34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554.3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0.592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62.8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E_circular_design_standards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0.17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74.62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652.8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0.557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2.3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92.5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152.8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2.21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F_green_skills_cluster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0.147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63.23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552.9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0.415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-0.2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89.5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G_integrated_package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0.21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93.65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819.3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0.666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6.3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246.7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408.1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436.9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0.56</w:t>
            </w:r>
          </w:p>
        </w:tc>
      </w:tr>
    </w:tbl>
    <w:p>
      <w:pPr>
        <w:pStyle w:val="Heading2"/>
      </w:pPr>
      <w:r>
        <w:t>ROI sensitivity to cost uncertainty</w:t>
      </w:r>
    </w:p>
    <w:p>
      <w:r>
        <w:rPr>
          <w:b/>
        </w:rPr>
        <w:t>Rank robustness:</w:t>
      </w:r>
      <w:r>
        <w:t xml:space="preserve"> ROBUST — </w:t>
      </w:r>
      <w:r>
        <w:rPr>
          <w:rFonts w:ascii="Consolas" w:hAnsi="Consolas"/>
        </w:rPr>
        <w:t>E_circular_design_standards</w:t>
      </w:r>
      <w:r>
        <w:t xml:space="preserve"> is the highest-ROI intervention across the full low/central/high cost band.</w:t>
      </w:r>
    </w:p>
    <w:p>
      <w:r>
        <w:t>Each lever carries a low/central/high public-cost bound (capital and collection schemes get the widest band — the DRS government-vs-industry estimates diverged ~10x). ROI is recomputed at the bundle's low and high cost; the *benefit* (modelled discounted GVA) is held fixed, so this isolates cost risk.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intervention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d_cum_gva_gbp_m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disc_cost_low_gbp_m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disc_public_cost_gbp_m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disc_cost_high_gbp_m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gva_roi_pessimistic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gva_roi_central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gva_roi_optimistic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A_materials_recovery_capital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34.3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102.8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B_circular_innovation_fund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55.2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93.3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165.6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C_smart_collection_drs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245.5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106.6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194.2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426.4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0.58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1.26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2.3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D_secondary_market_offtake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31.4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62.8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125.6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E_circular_design_standards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92.5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20.9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83.8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4.43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F_green_skills_cluster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44.7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89.5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163.7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G_integrated_package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246.7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237.0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436.9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875.6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0.28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0.56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1.04</w:t>
            </w:r>
          </w:p>
        </w:tc>
      </w:tr>
    </w:tbl>
    <w:p>
      <w:r>
        <w:t xml:space="preserve">*Read: </w:t>
      </w:r>
      <w:r>
        <w:rPr>
          <w:rFonts w:ascii="Consolas" w:hAnsi="Consolas"/>
        </w:rPr>
        <w:t>gva_roi_pessimistic</w:t>
      </w:r>
      <w:r>
        <w:t xml:space="preserve"> uses the HIGH cost bound, </w:t>
      </w:r>
      <w:r>
        <w:rPr>
          <w:rFonts w:ascii="Consolas" w:hAnsi="Consolas"/>
        </w:rPr>
        <w:t>gva_roi_optimistic</w:t>
      </w:r>
      <w:r>
        <w:t xml:space="preserve"> the LOW. An intervention whose whole band stays &gt;1 is robustly value-positive; one straddling 1 is cost-sensitive.*</w:t>
      </w:r>
    </w:p>
    <w:p>
      <w:pPr>
        <w:pStyle w:val="Heading2"/>
      </w:pPr>
      <w:r>
        <w:t>Calibration &amp; cost sources (UK-anchored)</w:t>
      </w:r>
    </w:p>
    <w:p>
      <w:r>
        <w:t>Public-cost figures are NI-scale annual budgets benchmarked to real UK programmes (NI ≈ 2.9% of UK population). Effect coefficients are calibrated to UK circular-economy evidence: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Lever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NI cost £m/yr — low / central / high (intensity 1.0)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UK anchor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recycling_grant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4.0 / 7.0 / 12.0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Vision 2035 DBT £50m for UK extraction/processing/recycling (+£165m already invested); NI recovery-grant share ~£7m/yr.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innovation_grant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3.0 / 5.0 / 9.0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Innovate UK CLIMATES £15m + Faraday/ReLiB £34m battery-recycling R&amp;D; NI Circular Innovation Fund ~£5m/yr.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collection_infrastructure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5.0 / 9.0 / 20.0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DEFRA DRS impact assessment: £632m set-up, £1.065bn/yr running (England+NI, drinks); NI WEEE/critical-stream collection programme ~£9m/yr.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product_passport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1.0 / 2.0 / 4.0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Digital product passport / EPR data systems — largely regulatory.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secondary_market_support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2.0 / 4.0 / 8.0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Secondary-materials marketplace + contingent offtake guarantees; ~£4m/yr NI.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recycled_content_procurement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0.5 / 1.0 / 2.0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Minimum recycled-content public-procurement standard — regulatory, minimal direct spend.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design_standards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0.5 / 1.0 / 2.0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Ecodesign / design-for-disassembly standards — regulatory.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skills_support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2.0 / 4.0 / 7.0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DfE green-skills bootcamps (~£3,152/learner); NI circular-minerals skills programme ~£4m/yr.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local_supplier_support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1.5 / 3.0 / 6.0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Invest NI-style supplier-development programme ~£3m/yr.</w:t>
            </w:r>
          </w:p>
        </w:tc>
      </w:tr>
    </w:tbl>
    <w:p>
      <w:r>
        <w:rPr>
          <w:b/>
        </w:rPr>
        <w:t>Effect-coefficient evidence:</w:t>
      </w:r>
    </w:p>
    <w:p>
      <w:pPr>
        <w:pStyle w:val="ListBullet"/>
      </w:pPr>
      <w:r>
        <w:t>*Collection lever:* calibrated to the UK Deposit Return Scheme uplift (container return 70–75% → &gt;90%, i.e. +15–20pp). Full deployment in-model lifts WEEE battery-metal collection ~+17pp and commercial scrap ~+20pp; REE stays low (~+5pp), consistent with global REE recycling at ~1% of demand.</w:t>
      </w:r>
    </w:p>
    <w:p>
      <w:pPr>
        <w:pStyle w:val="ListBullet"/>
      </w:pPr>
      <w:r>
        <w:t>*Recovery yields:* REE_magnet 0.85 / Li 0.50 / Cu 0.90 from Met4Tech, Faraday/ReLiB (£34m EV-battery recycling programme) and Ionic process data.</w:t>
      </w:r>
    </w:p>
    <w:p>
      <w:pPr>
        <w:pStyle w:val="ListBullet"/>
      </w:pPr>
      <w:r>
        <w:t>*WEEE baseline collection ≈ 0.25* — UK documented WEEE collection/recycling ~22–25% (UN Global E-waste Monitor 2024); critical metals within it recovered far less, which is why recycled *share* stays feedstock-constrained.</w:t>
      </w:r>
    </w:p>
    <w:p>
      <w:r>
        <w:t>*These remain modelling estimates with uncertainty; swap in audited NI scheme budgets and a firm-level recycler survey to move from illustrative to calibrated.*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