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Northern Ireland Circular Minerals — Executive Summary</w:t>
      </w:r>
    </w:p>
    <w:p>
      <w:r>
        <w:rPr>
          <w:b/>
        </w:rPr>
        <w:t>For:</w:t>
      </w:r>
      <w:r>
        <w:t xml:space="preserve"> Department for the Economy minerals &amp; circular-economy consultation</w:t>
      </w:r>
    </w:p>
    <w:p>
      <w:r>
        <w:rPr>
          <w:b/>
        </w:rPr>
        <w:t>What this is:</w:t>
      </w:r>
      <w:r>
        <w:t xml:space="preserve"> a decision-maker summary of findings from an integrated model of</w:t>
      </w:r>
    </w:p>
    <w:p>
      <w:r>
        <w:t>the NI minerals system (extraction → use → recycling). Figures illustrate model</w:t>
      </w:r>
    </w:p>
    <w:p>
      <w:r>
        <w:t>behaviour and policy direction under stated assumptions — they are **not</w:t>
      </w:r>
    </w:p>
    <w:p>
      <w:r>
        <w:t>forecasts**. The model is validated against the Minviro scenario evidence and the</w:t>
      </w:r>
    </w:p>
    <w:p>
      <w:r>
        <w:t>real NI baseline (mining GVA £108m, ~1,950 workers).</w:t>
      </w:r>
    </w:p>
    <w:p>
      <w:pPr>
        <w:pStyle w:val="Heading2"/>
      </w:pPr>
      <w:r>
        <w:t>The bottom line</w:t>
      </w:r>
    </w:p>
    <w:p>
      <w:r>
        <w:t xml:space="preserve">Northern Ireland's strongest minerals opportunity is </w:t>
      </w:r>
      <w:r>
        <w:rPr>
          <w:b/>
        </w:rPr>
        <w:t>circular</w:t>
      </w:r>
      <w:r>
        <w:t xml:space="preserve"> — recovering</w:t>
      </w:r>
    </w:p>
    <w:p>
      <w:r>
        <w:t>critical minerals from end-of-life products and processing them — not primary</w:t>
      </w:r>
    </w:p>
    <w:p>
      <w:r>
        <w:t xml:space="preserve">mining. NI is </w:t>
      </w:r>
      <w:r>
        <w:rPr>
          <w:b/>
        </w:rPr>
        <w:t>demand-rich but capacity-poor</w:t>
      </w:r>
      <w:r>
        <w:t>: it has world-class research (QUB),</w:t>
      </w:r>
    </w:p>
    <w:p>
      <w:r>
        <w:t>a real rare-earth recycling firm (Ionic Technologies, Belfast), strong downstream</w:t>
      </w:r>
    </w:p>
    <w:p>
      <w:r>
        <w:t>manufacturers (Wrightbus, Seagate, Spirit) and a named place in the UK strategy,</w:t>
      </w:r>
    </w:p>
    <w:p>
      <w:r>
        <w:t xml:space="preserve">but only </w:t>
      </w:r>
      <w:r>
        <w:rPr>
          <w:b/>
        </w:rPr>
        <w:t>one</w:t>
      </w:r>
      <w:r>
        <w:t xml:space="preserve"> critical-mineral processing asset and almost no domestic critical</w:t>
      </w:r>
    </w:p>
    <w:p>
      <w:r>
        <w:t>geology.</w:t>
      </w:r>
    </w:p>
    <w:p>
      <w:r>
        <w:t>The single most important action is to **build midstream processing and recovery</w:t>
      </w:r>
    </w:p>
    <w:p>
      <w:r>
        <w:t>capacity</w:t>
      </w:r>
      <w:r>
        <w:rPr>
          <w:b/>
        </w:rPr>
        <w:t xml:space="preserve">, paired with fixing </w:t>
      </w:r>
      <w:r>
        <w:t>feedstock collection**. Get those right and the</w:t>
      </w:r>
    </w:p>
    <w:p>
      <w:r>
        <w:t>demand surge from the energy transition becomes NI jobs and GVA; get them wrong and</w:t>
      </w:r>
    </w:p>
    <w:p>
      <w:r>
        <w:t>rising demand simply increases import dependence.</w:t>
      </w:r>
    </w:p>
    <w:p>
      <w:pPr>
        <w:pStyle w:val="Heading2"/>
      </w:pPr>
      <w:r>
        <w:t>What the Department asked, and what the model finds</w:t>
      </w:r>
    </w:p>
    <w:p>
      <w:pPr>
        <w:pStyle w:val="Heading3"/>
      </w:pPr>
      <w:r>
        <w:t>2.1 — How to support innovation for circularity (the best policy mix)</w:t>
      </w:r>
    </w:p>
    <w:p>
      <w:pPr>
        <w:pStyle w:val="ListBullet"/>
      </w:pPr>
      <w:r>
        <w:rPr>
          <w:b/>
        </w:rPr>
        <w:t>Collection is the binding constraint, not processing capacity.</w:t>
      </w:r>
      <w:r>
        <w:t xml:space="preserve"> A smart</w:t>
      </w:r>
    </w:p>
    <w:p>
      <w:r>
        <w:t>collection / deposit-return scheme is the **only single lever that reaches the</w:t>
      </w:r>
    </w:p>
    <w:p>
      <w:r>
        <w:t>Vision-2035 20% recycling target** (and adds ~250 recycling jobs and ~£245m</w:t>
      </w:r>
    </w:p>
    <w:p>
      <w:r>
        <w:t>discounted GVA). Subsidising recovery *plant* alone does almost nothing — NI's gap</w:t>
      </w:r>
    </w:p>
    <w:p>
      <w:r>
        <w:t>is feedstock, not machines.</w:t>
      </w:r>
    </w:p>
    <w:p>
      <w:pPr>
        <w:pStyle w:val="ListBullet"/>
      </w:pPr>
      <w:r>
        <w:rPr>
          <w:b/>
        </w:rPr>
        <w:t>Design standards are the best value for money.</w:t>
      </w:r>
      <w:r>
        <w:t xml:space="preserve"> Ecodesign / recycled-content</w:t>
      </w:r>
    </w:p>
    <w:p>
      <w:r>
        <w:t>rules and product passports deliver the highest return (~£2.2 of GVA per £ of</w:t>
      </w:r>
    </w:p>
    <w:p>
      <w:r>
        <w:t>public cost, robust across cost uncertainty) at low cost because they are mostly</w:t>
      </w:r>
    </w:p>
    <w:p>
      <w:r>
        <w:t>regulatory.</w:t>
      </w:r>
    </w:p>
    <w:p>
      <w:pPr>
        <w:pStyle w:val="ListBullet"/>
      </w:pPr>
      <w:r>
        <w:rPr>
          <w:b/>
        </w:rPr>
        <w:t>The mix beats any single lever.</w:t>
      </w:r>
      <w:r>
        <w:t xml:space="preserve"> A combined package lifts circular-economy jobs</w:t>
      </w:r>
    </w:p>
    <w:p>
      <w:r>
        <w:t>by ~30% and crosses the recycling target.</w:t>
      </w:r>
    </w:p>
    <w:p>
      <w:pPr>
        <w:pStyle w:val="IntenseQuote"/>
      </w:pPr>
      <w:r>
        <w:rPr>
          <w:b/>
        </w:rPr>
        <w:t>Do now (cheap, high return):</w:t>
      </w:r>
      <w:r>
        <w:t xml:space="preserve"> recycled-content procurement + design-for-</w:t>
      </w:r>
    </w:p>
    <w:p>
      <w:pPr>
        <w:pStyle w:val="IntenseQuote"/>
      </w:pPr>
      <w:r>
        <w:t xml:space="preserve">disassembly standards + product passports. </w:t>
      </w:r>
      <w:r>
        <w:rPr>
          <w:b/>
        </w:rPr>
        <w:t>Then:</w:t>
      </w:r>
      <w:r>
        <w:t xml:space="preserve"> a Circular Innovation Fund</w:t>
      </w:r>
    </w:p>
    <w:p>
      <w:pPr>
        <w:pStyle w:val="IntenseQuote"/>
      </w:pPr>
      <w:r>
        <w:t>(R&amp;D) and collection/DRS infrastructure to unblock feedstock.</w:t>
      </w:r>
    </w:p>
    <w:p>
      <w:pPr>
        <w:pStyle w:val="Heading3"/>
      </w:pPr>
      <w:r>
        <w:t>2.2 — Opportunities and challenges for sustainable development</w:t>
      </w:r>
    </w:p>
    <w:p>
      <w:pPr>
        <w:pStyle w:val="ListBullet"/>
      </w:pPr>
      <w:r>
        <w:rPr>
          <w:b/>
        </w:rPr>
        <w:t>Opportunities</w:t>
      </w:r>
      <w:r>
        <w:t xml:space="preserve"> are led by the *circular* pathway — rare-earth magnets, lithium</w:t>
      </w:r>
    </w:p>
    <w:p>
      <w:r>
        <w:t>and copper recovery — because NI has named capability (Ionic) and high import</w:t>
      </w:r>
    </w:p>
    <w:p>
      <w:r>
        <w:t>dependence to displace. NI is also the most prospective part of the UK/Ireland for</w:t>
      </w:r>
    </w:p>
    <w:p>
      <w:r>
        <w:t>precious metals (the Curraghinalt deposit holds 3.79 Moz of gold plus copper,</w:t>
      </w:r>
    </w:p>
    <w:p>
      <w:r>
        <w:t>antimony, tellurium and cobalt).</w:t>
      </w:r>
    </w:p>
    <w:p>
      <w:pPr>
        <w:pStyle w:val="ListBullet"/>
      </w:pPr>
      <w:r>
        <w:rPr>
          <w:b/>
        </w:rPr>
        <w:t>The binding challenge is social licence, not economics.</w:t>
      </w:r>
      <w:r>
        <w:t xml:space="preserve"> NI's best deposit</w:t>
      </w:r>
    </w:p>
    <w:p>
      <w:r>
        <w:t>clears the commercial hurdle but is blocked by community opposition. In the model</w:t>
      </w:r>
    </w:p>
    <w:p>
      <w:r>
        <w:t xml:space="preserve">a credible </w:t>
      </w:r>
      <w:r>
        <w:rPr>
          <w:b/>
        </w:rPr>
        <w:t>community-benefit package</w:t>
      </w:r>
      <w:r>
        <w:t xml:space="preserve"> is the *only* lever that brings it</w:t>
      </w:r>
    </w:p>
    <w:p>
      <w:r>
        <w:t xml:space="preserve">forward — and it delivers roughly </w:t>
      </w:r>
      <w:r>
        <w:rPr>
          <w:b/>
        </w:rPr>
        <w:t>ten times</w:t>
      </w:r>
      <w:r>
        <w:t xml:space="preserve"> the value of finance, permitting</w:t>
      </w:r>
    </w:p>
    <w:p>
      <w:r>
        <w:t>or skills support on their own (+£208m discounted GVA, +~600 jobs). Crucially it</w:t>
      </w:r>
    </w:p>
    <w:p>
      <w:r>
        <w:t>can be done sustainably: pairing extraction with high-ESG conditions yields</w:t>
      </w:r>
    </w:p>
    <w:p>
      <w:r>
        <w:t>similar value at lower impact.</w:t>
      </w:r>
    </w:p>
    <w:p>
      <w:pPr>
        <w:pStyle w:val="ListBullet"/>
      </w:pPr>
      <w:r>
        <w:rPr>
          <w:b/>
        </w:rPr>
        <w:t>Critical-mineral security is mainly a recycling story.</w:t>
      </w:r>
      <w:r>
        <w:t xml:space="preserve"> NI has little domestic</w:t>
      </w:r>
    </w:p>
    <w:p>
      <w:r>
        <w:t>critical-mineral geology, so the realistic prize is midstream + recycling, not new</w:t>
      </w:r>
    </w:p>
    <w:p>
      <w:r>
        <w:t>primary mines.</w:t>
      </w:r>
    </w:p>
    <w:p>
      <w:pPr>
        <w:pStyle w:val="Heading3"/>
      </w:pPr>
      <w:r>
        <w:t>2.3 — What support businesses need to participate</w:t>
      </w:r>
    </w:p>
    <w:p>
      <w:pPr>
        <w:pStyle w:val="ListBullet"/>
      </w:pPr>
      <w:r>
        <w:rPr>
          <w:b/>
        </w:rPr>
        <w:t>A supply shock hits the chain unevenly.</w:t>
      </w:r>
      <w:r>
        <w:t xml:space="preserve"> Losing a dominant overseas supplier</w:t>
      </w:r>
    </w:p>
    <w:p>
      <w:r>
        <w:t>(the most concentrated minerals are 70–74% single-country) opens a critical-</w:t>
      </w:r>
    </w:p>
    <w:p>
      <w:r>
        <w:t xml:space="preserve">mineral </w:t>
      </w:r>
      <w:r>
        <w:rPr>
          <w:b/>
        </w:rPr>
        <w:t>supply gap that lands on downstream manufacturers</w:t>
      </w:r>
      <w:r>
        <w:t xml:space="preserve"> as cost and</w:t>
      </w:r>
    </w:p>
    <w:p>
      <w:r>
        <w:t>insecurity — while it is an *opportunity* for recyclers and miners, if they have</w:t>
      </w:r>
    </w:p>
    <w:p>
      <w:r>
        <w:t>the capacity to respond.</w:t>
      </w:r>
    </w:p>
    <w:p>
      <w:pPr>
        <w:pStyle w:val="ListBullet"/>
      </w:pPr>
      <w:r>
        <w:rPr>
          <w:b/>
        </w:rPr>
        <w:t>The participation barrier is the "valley of death"</w:t>
      </w:r>
      <w:r>
        <w:t xml:space="preserve"> — moving from pilot to</w:t>
      </w:r>
    </w:p>
    <w:p>
      <w:r>
        <w:t>commercial scale (exactly Ionic's position). The evidence-based unlocks are</w:t>
      </w:r>
    </w:p>
    <w:p>
      <w:r>
        <w:rPr>
          <w:b/>
        </w:rPr>
        <w:t>first-of-a-kind capital with cost-share + blended public–private finance</w:t>
      </w:r>
      <w:r>
        <w:t>, and</w:t>
      </w:r>
    </w:p>
    <w:p>
      <w:r>
        <w:rPr>
          <w:b/>
        </w:rPr>
        <w:t>long-term offtake with a price floor</w:t>
      </w:r>
      <w:r>
        <w:t xml:space="preserve"> (as in the US DoD–MP Materials deal) to</w:t>
      </w:r>
    </w:p>
    <w:p>
      <w:r>
        <w:t>give lenders the demand certainty that price volatility otherwise denies.</w:t>
      </w:r>
    </w:p>
    <w:p>
      <w:pPr>
        <w:pStyle w:val="ListBullet"/>
      </w:pPr>
      <w:r>
        <w:rPr>
          <w:b/>
        </w:rPr>
        <w:t>Support must be sequenced and stage-specific:</w:t>
      </w:r>
    </w:p>
    <w:p>
      <w:pPr>
        <w:pStyle w:val="ListBullet"/>
      </w:pPr>
      <w:r>
        <w:t>*Upstream firms* need capital and confidence — NWF/UKEF co-investment, faster</w:t>
      </w:r>
    </w:p>
    <w:p>
      <w:r>
        <w:t>permitting, community benefit.</w:t>
      </w:r>
    </w:p>
    <w:p>
      <w:pPr>
        <w:pStyle w:val="ListBullet"/>
      </w:pPr>
      <w:r>
        <w:t>*Midstream processors/recyclers* (the binding gap) need scale-up capital,</w:t>
      </w:r>
    </w:p>
    <w:p>
      <w:r>
        <w:t>energy-cost relief, R&amp;D and offtake guarantees.</w:t>
      </w:r>
    </w:p>
    <w:p>
      <w:pPr>
        <w:pStyle w:val="ListBullet"/>
      </w:pPr>
      <w:r>
        <w:t>*Downstream manufacturers* need recycled-content procurement and supplier</w:t>
      </w:r>
    </w:p>
    <w:p>
      <w:r>
        <w:t xml:space="preserve">development — but </w:t>
      </w:r>
      <w:r>
        <w:rPr>
          <w:b/>
        </w:rPr>
        <w:t>only after</w:t>
      </w:r>
      <w:r>
        <w:t xml:space="preserve"> midstream capacity exists (they cannot buy</w:t>
      </w:r>
    </w:p>
    <w:p>
      <w:r>
        <w:t>secondary material that isn't yet produced).</w:t>
      </w:r>
    </w:p>
    <w:p>
      <w:pPr>
        <w:pStyle w:val="ListBullet"/>
      </w:pPr>
      <w:r>
        <w:rPr>
          <w:b/>
        </w:rPr>
        <w:t>A stockpile is a bridge, not a fix.</w:t>
      </w:r>
      <w:r>
        <w:t xml:space="preserve"> Sized to real practice (~180 days, as</w:t>
      </w:r>
    </w:p>
    <w:p>
      <w:r>
        <w:t>Japan and Korea hold), a strategic reserve buffers the first ~1–2 years of a shock</w:t>
      </w:r>
    </w:p>
    <w:p>
      <w:r>
        <w:t>and then depletes — useful to *bridge* while capacity is built, never a substitute</w:t>
      </w:r>
    </w:p>
    <w:p>
      <w:r>
        <w:t>for it.</w:t>
      </w:r>
    </w:p>
    <w:p>
      <w:pPr>
        <w:pStyle w:val="IntenseQuote"/>
      </w:pPr>
      <w:r>
        <w:rPr>
          <w:b/>
        </w:rPr>
        <w:t>One-stop "strategic project" front door.</w:t>
      </w:r>
      <w:r>
        <w:t xml:space="preserve"> NI is uniquely placed: under the</w:t>
      </w:r>
    </w:p>
    <w:p>
      <w:pPr>
        <w:pStyle w:val="IntenseQuote"/>
      </w:pPr>
      <w:r>
        <w:t>Windsor Framework an NI project could access EU CRMA strategic-project status</w:t>
      </w:r>
    </w:p>
    <w:p>
      <w:pPr>
        <w:pStyle w:val="IntenseQuote"/>
      </w:pPr>
      <w:r>
        <w:t>(fast permitting, finance facilitation, offtake matchmaking) *and* the UK</w:t>
      </w:r>
    </w:p>
    <w:p>
      <w:pPr>
        <w:pStyle w:val="IntenseQuote"/>
      </w:pPr>
      <w:r>
        <w:t>NWF/UKEF/BICS offer — a genuine dual UK + EU market advantage.</w:t>
      </w:r>
    </w:p>
    <w:p>
      <w:pPr>
        <w:pStyle w:val="Heading3"/>
      </w:pPr>
      <w:r>
        <w:t>2.4 — The government's role in ensuring secure supply</w:t>
      </w:r>
    </w:p>
    <w:p>
      <w:r>
        <w:t>Five government postures were tested against escalating geopolitical shocks</w:t>
      </w:r>
    </w:p>
    <w:p>
      <w:r>
        <w:t>(a dominant-supplier export ban) and a Monte-Carlo of uncertain shocks (random</w:t>
      </w:r>
    </w:p>
    <w:p>
      <w:r>
        <w:t>onset, minerals and severity):</w:t>
      </w:r>
    </w:p>
    <w:p>
      <w:pPr>
        <w:pStyle w:val="ListBullet"/>
      </w:pPr>
      <w:r>
        <w:rPr>
          <w:b/>
        </w:rPr>
        <w:t>Light-touch fails the security test.</w:t>
      </w:r>
      <w:r>
        <w:t xml:space="preserve"> NI is structurally over-concentrated —</w:t>
      </w:r>
    </w:p>
    <w:p>
      <w:r>
        <w:t>single-country exposure sits far above the 60% ceiling in normal times, and a</w:t>
      </w:r>
    </w:p>
    <w:p>
      <w:r>
        <w:t>market posture has the highest tail risk under uncertain shocks. Security is a</w:t>
      </w:r>
    </w:p>
    <w:p>
      <w:r>
        <w:t>public good the market under-provides.</w:t>
      </w:r>
    </w:p>
    <w:p>
      <w:pPr>
        <w:pStyle w:val="ListBullet"/>
      </w:pPr>
      <w:r>
        <w:rPr>
          <w:b/>
        </w:rPr>
        <w:t>No single instrument is enough.</w:t>
      </w:r>
      <w:r>
        <w:t xml:space="preserve"> Diversification + a stockpile cut</w:t>
      </w:r>
    </w:p>
    <w:p>
      <w:r>
        <w:t>single-country exposure and bridge the immediate gap but build no capability;</w:t>
      </w:r>
    </w:p>
    <w:p>
      <w:r>
        <w:t>domestic autonomy is slow and socially constrained; circular leadership builds</w:t>
      </w:r>
    </w:p>
    <w:p>
      <w:r>
        <w:t>durable secondary supply but is feedstock-limited.</w:t>
      </w:r>
    </w:p>
    <w:p>
      <w:pPr>
        <w:pStyle w:val="ListBullet"/>
      </w:pPr>
      <w:r>
        <w:rPr>
          <w:b/>
        </w:rPr>
        <w:t>A balanced *strategic-coordinator* role is the most robust</w:t>
      </w:r>
      <w:r>
        <w:t xml:space="preserve"> — across the shock</w:t>
      </w:r>
    </w:p>
    <w:p>
      <w:r>
        <w:t>range and the Monte-Carlo tail (it roughly halves the 90th-percentile supply gap</w:t>
      </w:r>
    </w:p>
    <w:p>
      <w:r>
        <w:t>versus light-touch) — and the only posture that moves all three Vision-2035</w:t>
      </w:r>
    </w:p>
    <w:p>
      <w:r>
        <w:t>indicators at once while adding GVA.</w:t>
      </w:r>
    </w:p>
    <w:p>
      <w:pPr>
        <w:pStyle w:val="IntenseQuote"/>
      </w:pPr>
      <w:r>
        <w:t>**The role government should play is an active *coordinator/insurer*, not a</w:t>
      </w:r>
    </w:p>
    <w:p>
      <w:pPr>
        <w:pStyle w:val="IntenseQuote"/>
      </w:pPr>
      <w:r>
        <w:t>producer or a bystander:** set the targets; de-risk midstream capacity (finance +</w:t>
      </w:r>
    </w:p>
    <w:p>
      <w:pPr>
        <w:pStyle w:val="IntenseQuote"/>
      </w:pPr>
      <w:r>
        <w:t>offtake); fix feedstock collection; diversify imports and insure the tail</w:t>
      </w:r>
    </w:p>
    <w:p>
      <w:pPr>
        <w:pStyle w:val="IntenseQuote"/>
      </w:pPr>
      <w:r>
        <w:t>(partnerships + a thin strategic reserve); and uphold high-ESG/community-benefit</w:t>
      </w:r>
    </w:p>
    <w:p>
      <w:pPr>
        <w:pStyle w:val="IntenseQuote"/>
      </w:pPr>
      <w:r>
        <w:t>terms — exactly the UK Vision-2035 dual aim of *optimising domestic production*</w:t>
      </w:r>
    </w:p>
    <w:p>
      <w:pPr>
        <w:pStyle w:val="IntenseQuote"/>
      </w:pPr>
      <w:r>
        <w:t>and *building resilient UK &amp; global supply networks*.</w:t>
      </w:r>
    </w:p>
    <w:p>
      <w:pPr>
        <w:pStyle w:val="Heading3"/>
      </w:pPr>
      <w:r>
        <w:t>Demand outlook (Vision 2035, EU CRMA, UK Industrial Strategy)</w:t>
      </w:r>
    </w:p>
    <w:p>
      <w:r>
        <w:t>UK demand for these minerals rises steeply to 2035 (copper roughly doubles, lithium</w:t>
      </w:r>
    </w:p>
    <w:p>
      <w:r>
        <w:t>many-fold). Under a supportive, sustainable policy stance the NI opportunity grows</w:t>
      </w:r>
    </w:p>
    <w:p>
      <w:r>
        <w:t xml:space="preserve">to ~2,000+ circular-economy jobs and ~£1.3bn discounted GVA. </w:t>
      </w:r>
      <w:r>
        <w:rPr>
          <w:b/>
        </w:rPr>
        <w:t>But</w:t>
      </w:r>
      <w:r>
        <w:t xml:space="preserve"> rising demand</w:t>
      </w:r>
    </w:p>
    <w:p>
      <w:r>
        <w:t>*erodes* supply-security ratios unless capacity scales with it — reinforcing that</w:t>
      </w:r>
    </w:p>
    <w:p>
      <w:r>
        <w:t>the opportunity is only captured if the midstream gap is closed.</w:t>
      </w:r>
    </w:p>
    <w:p>
      <w:pPr>
        <w:pStyle w:val="Heading3"/>
      </w:pPr>
      <w:r>
        <w:t>2.5 — Local employment, skills and regional growth</w:t>
      </w:r>
    </w:p>
    <w:p>
      <w:pPr>
        <w:pStyle w:val="ListBullet"/>
      </w:pPr>
      <w:r>
        <w:rPr>
          <w:b/>
        </w:rPr>
        <w:t>Quality jobs, above the NI average.</w:t>
      </w:r>
      <w:r>
        <w:t xml:space="preserve"> The minerals sectors pay a ~9–17% wage</w:t>
      </w:r>
    </w:p>
    <w:p>
      <w:r>
        <w:t>premium over the NI median (mining and advanced manufacturing are skill-intensive);</w:t>
      </w:r>
    </w:p>
    <w:p>
      <w:r>
        <w:t>hundreds of higher-skill roles in the stronger scenarios.</w:t>
      </w:r>
    </w:p>
    <w:p>
      <w:pPr>
        <w:pStyle w:val="ListBullet"/>
      </w:pPr>
      <w:r>
        <w:rPr>
          <w:b/>
        </w:rPr>
        <w:t>Regional growth is rural-weighted.</w:t>
      </w:r>
      <w:r>
        <w:t xml:space="preserve"> Jobs concentrate where the named firms sit —</w:t>
      </w:r>
    </w:p>
    <w:p>
      <w:r>
        <w:t>Belfast plus the rural west and Mid Ulster (Newry, Fermanagh &amp; Omagh, Armagh, Mid</w:t>
      </w:r>
    </w:p>
    <w:p>
      <w:r>
        <w:t>Ulster) — spreading growth beyond Belfast.</w:t>
      </w:r>
    </w:p>
    <w:p>
      <w:pPr>
        <w:pStyle w:val="ListBullet"/>
      </w:pPr>
      <w:r>
        <w:rPr>
          <w:b/>
        </w:rPr>
        <w:t>Local retention is a policy choice.</w:t>
      </w:r>
      <w:r>
        <w:t xml:space="preserve"> Retained local employment rises from ~70%</w:t>
      </w:r>
    </w:p>
    <w:p>
      <w:r>
        <w:t>to ~97% under a local-content + skills focus — directly countering Minviro's warning</w:t>
      </w:r>
    </w:p>
    <w:p>
      <w:r>
        <w:t>(and the Galmoy/Lisheen precedent) that benefits leak out when specialist labour and</w:t>
      </w:r>
    </w:p>
    <w:p>
      <w:r>
        <w:t>equipment are imported.</w:t>
      </w:r>
    </w:p>
    <w:p>
      <w:pPr>
        <w:pStyle w:val="ListBullet"/>
      </w:pPr>
      <w:r>
        <w:rPr>
          <w:b/>
        </w:rPr>
        <w:t>Skills are the binding enabler.</w:t>
      </w:r>
      <w:r>
        <w:t xml:space="preserve"> Against ~7,500 NI skill-shortage vacancies and</w:t>
      </w:r>
    </w:p>
    <w:p>
      <w:r>
        <w:t>5,000+ new roles needed yearly, a green-skills/critical-minerals pipeline (Skills</w:t>
      </w:r>
    </w:p>
    <w:p>
      <w:r>
        <w:t>England/DWP, FE colleges, QUB) and apprenticeships are prerequisites, not add-ons.</w:t>
      </w:r>
    </w:p>
    <w:p>
      <w:pPr>
        <w:pStyle w:val="Heading3"/>
      </w:pPr>
      <w:r>
        <w:t>2.6 — Economic benefits</w:t>
      </w:r>
    </w:p>
    <w:p>
      <w:pPr>
        <w:pStyle w:val="ListBullet"/>
      </w:pPr>
      <w:r>
        <w:rPr>
          <w:b/>
        </w:rPr>
        <w:t>Substantial and broad.</w:t>
      </w:r>
      <w:r>
        <w:t xml:space="preserve"> The integrated scenario delivers ~£1.15bn discounted GVA,</w:t>
      </w:r>
    </w:p>
    <w:p>
      <w:r>
        <w:t xml:space="preserve">~£1.8bn of </w:t>
      </w:r>
      <w:r>
        <w:rPr>
          <w:b/>
        </w:rPr>
        <w:t>avoided import costs</w:t>
      </w:r>
      <w:r>
        <w:t xml:space="preserve"> (the import bill met by domestic + recycled</w:t>
      </w:r>
    </w:p>
    <w:p>
      <w:r>
        <w:t>supply), ~£0.3bn tax and ~£0.9bn exports over 30 years, on top of the £1.16bn</w:t>
      </w:r>
    </w:p>
    <w:p>
      <w:r>
        <w:t>named-firm investment pipeline — Minviro's full benefit taxonomy (jobs, taxes &amp;</w:t>
      </w:r>
    </w:p>
    <w:p>
      <w:r>
        <w:t>royalties, infrastructure, training, local procurement), quantified.</w:t>
      </w:r>
    </w:p>
    <w:p>
      <w:pPr>
        <w:pStyle w:val="ListBullet"/>
      </w:pPr>
      <w:r>
        <w:rPr>
          <w:b/>
        </w:rPr>
        <w:t>Honest value-for-money.</w:t>
      </w:r>
      <w:r>
        <w:t xml:space="preserve"> On *incremental GVA alone* the capital-heavy scenarios</w:t>
      </w:r>
    </w:p>
    <w:p>
      <w:r>
        <w:t xml:space="preserve">return below £1 per £ of public cost — but once </w:t>
      </w:r>
      <w:r>
        <w:rPr>
          <w:b/>
        </w:rPr>
        <w:t>avoided imports / resilience</w:t>
      </w:r>
      <w:r>
        <w:t xml:space="preserve"> are</w:t>
      </w:r>
    </w:p>
    <w:p>
      <w:r>
        <w:t>counted the return rises to ~2×, with tax, exports and jobs on top. **Pure extraction</w:t>
      </w:r>
    </w:p>
    <w:p>
      <w:r>
        <w:t>support is the weakest** (little opens without social licence). Headline benefits are</w:t>
      </w:r>
    </w:p>
    <w:p>
      <w:r>
        <w:t>an upper bound: the *retained* share depends on the local-content + skills measures of</w:t>
      </w:r>
    </w:p>
    <w:p>
      <w:r>
        <w:t>2.5.</w:t>
      </w:r>
    </w:p>
    <w:p>
      <w:pPr>
        <w:pStyle w:val="Heading3"/>
      </w:pPr>
      <w:r>
        <w:t>2.7 — Negative impacts, and how to minimise them</w:t>
      </w:r>
    </w:p>
    <w:p>
      <w:pPr>
        <w:pStyle w:val="ListBullet"/>
      </w:pPr>
      <w:r>
        <w:rPr>
          <w:b/>
        </w:rPr>
        <w:t>Primary mining carries the heavy, site-specific burden</w:t>
      </w:r>
      <w:r>
        <w:t xml:space="preserve"> — land take, water,</w:t>
      </w:r>
    </w:p>
    <w:p>
      <w:r>
        <w:t>biodiversity, tailings, dust/noise and closure liabilities, concentrated on the host</w:t>
      </w:r>
    </w:p>
    <w:p>
      <w:r>
        <w:t>area (e.g. Curraghinalt in Fermanagh &amp; Omagh) and its receptors.</w:t>
      </w:r>
    </w:p>
    <w:p>
      <w:pPr>
        <w:pStyle w:val="ListBullet"/>
      </w:pPr>
      <w:r>
        <w:rPr>
          <w:b/>
        </w:rPr>
        <w:t>Recycling is far lower-impact per £ of value</w:t>
      </w:r>
      <w:r>
        <w:t xml:space="preserve"> — it avoids the land/water/</w:t>
      </w:r>
    </w:p>
    <w:p>
      <w:r>
        <w:t>biodiversity/tailings burden almost entirely and its carbon footprint is ~30% of</w:t>
      </w:r>
    </w:p>
    <w:p>
      <w:r>
        <w:t>primary; circularity is the impact-minimising route to the same supply security.</w:t>
      </w:r>
    </w:p>
    <w:p>
      <w:pPr>
        <w:pStyle w:val="ListBullet"/>
      </w:pPr>
      <w:r>
        <w:rPr>
          <w:b/>
        </w:rPr>
        <w:t>High-ESG design materially mitigates</w:t>
      </w:r>
      <w:r>
        <w:t xml:space="preserve"> the local burden of any primary</w:t>
      </w:r>
    </w:p>
    <w:p>
      <w:r>
        <w:t xml:space="preserve">development (~35% in the model). The order of preference is </w:t>
      </w:r>
      <w:r>
        <w:rPr>
          <w:b/>
        </w:rPr>
        <w:t>avoid</w:t>
      </w:r>
      <w:r>
        <w:t xml:space="preserve"> (recycle/design)</w:t>
      </w:r>
    </w:p>
    <w:p>
      <w:r>
        <w:t xml:space="preserve">→ </w:t>
      </w:r>
      <w:r>
        <w:rPr>
          <w:b/>
        </w:rPr>
        <w:t>mitigate</w:t>
      </w:r>
      <w:r>
        <w:t xml:space="preserve"> (high-ESG: water stewardship, rehabilitation, biodiversity net gain) →</w:t>
      </w:r>
    </w:p>
    <w:p>
      <w:r>
        <w:rPr>
          <w:b/>
        </w:rPr>
        <w:t>manage closure</w:t>
      </w:r>
      <w:r>
        <w:t xml:space="preserve"> (bonded) and local socio-economic risks (boom-bust, displacement).</w:t>
      </w:r>
    </w:p>
    <w:p>
      <w:pPr>
        <w:pStyle w:val="Heading2"/>
      </w:pPr>
      <w:r>
        <w:t>Six recommendations</w:t>
      </w:r>
    </w:p>
    <w:p>
      <w:pPr>
        <w:pStyle w:val="ListNumber"/>
      </w:pPr>
      <w:r>
        <w:rPr>
          <w:b/>
        </w:rPr>
        <w:t>Build the midstream.</w:t>
      </w:r>
      <w:r>
        <w:t xml:space="preserve"> Fund first-of-a-kind / scale-up processing and recovery</w:t>
      </w:r>
    </w:p>
    <w:p>
      <w:r>
        <w:t>capacity (cost-share + blended finance + offtake/price floor). This is the binding</w:t>
      </w:r>
    </w:p>
    <w:p>
      <w:r>
        <w:t>gap and the highest-leverage action.</w:t>
      </w:r>
    </w:p>
    <w:p>
      <w:pPr>
        <w:pStyle w:val="ListNumber"/>
      </w:pPr>
      <w:r>
        <w:rPr>
          <w:b/>
        </w:rPr>
        <w:t>Fix feedstock collection.</w:t>
      </w:r>
      <w:r>
        <w:t xml:space="preserve"> A smart collection / deposit-return / WEEE scheme is</w:t>
      </w:r>
    </w:p>
    <w:p>
      <w:r>
        <w:t>the only route to the 20% recycling target.</w:t>
      </w:r>
    </w:p>
    <w:p>
      <w:pPr>
        <w:pStyle w:val="ListNumber"/>
      </w:pPr>
      <w:r>
        <w:rPr>
          <w:b/>
        </w:rPr>
        <w:t>Lead with cheap demand-side rules.</w:t>
      </w:r>
      <w:r>
        <w:t xml:space="preserve"> Recycled-content procurement, ecodesign</w:t>
      </w:r>
    </w:p>
    <w:p>
      <w:r>
        <w:t>standards and product passports — high return, low cost — sequenced ahead of, then</w:t>
      </w:r>
    </w:p>
    <w:p>
      <w:r>
        <w:t>alongside, capacity.</w:t>
      </w:r>
    </w:p>
    <w:p>
      <w:pPr>
        <w:pStyle w:val="ListNumber"/>
      </w:pPr>
      <w:r>
        <w:rPr>
          <w:b/>
        </w:rPr>
        <w:t>Make any extraction responsible and contained.</w:t>
      </w:r>
      <w:r>
        <w:t xml:space="preserve"> Pair primary development with a</w:t>
      </w:r>
    </w:p>
    <w:p>
      <w:r>
        <w:t>genuine community-benefit scheme (the binding constraint), high-ESG design (which</w:t>
      </w:r>
    </w:p>
    <w:p>
      <w:r>
        <w:t>cuts the local burden ~35%) and bonded closure; impacts are site-specific, so</w:t>
      </w:r>
    </w:p>
    <w:p>
      <w:r>
        <w:t>require project- and place-specific assessment.</w:t>
      </w:r>
    </w:p>
    <w:p>
      <w:pPr>
        <w:pStyle w:val="ListNumber"/>
      </w:pPr>
      <w:r>
        <w:rPr>
          <w:b/>
        </w:rPr>
        <w:t>Tie support to local content and skills.</w:t>
      </w:r>
      <w:r>
        <w:t xml:space="preserve"> Local-supplier development plus a</w:t>
      </w:r>
    </w:p>
    <w:p>
      <w:r>
        <w:t>green-skills / apprenticeship pipeline convert headline jobs into *retained* NI jobs</w:t>
      </w:r>
    </w:p>
    <w:p>
      <w:r>
        <w:t>(~70%→~97%) and are the gating enabler of the GVA and employment benefits.</w:t>
      </w:r>
    </w:p>
    <w:p>
      <w:pPr>
        <w:pStyle w:val="ListNumber"/>
      </w:pPr>
      <w:r>
        <w:rPr>
          <w:b/>
        </w:rPr>
        <w:t>Create one front door and a thin safety net.</w:t>
      </w:r>
      <w:r>
        <w:t xml:space="preserve"> A single "strategic project"</w:t>
      </w:r>
    </w:p>
    <w:p>
      <w:r>
        <w:t>designation (mirroring/accessing EU CRMA via Windsor) plus a modest ~180-day</w:t>
      </w:r>
    </w:p>
    <w:p>
      <w:r>
        <w:t>strategic reserve and international diversification for the residual risk.</w:t>
      </w:r>
    </w:p>
    <w:p>
      <w:pPr>
        <w:pStyle w:val="Heading2"/>
      </w:pPr>
      <w:r>
        <w:t>Northern Ireland's distinctive advantages</w:t>
      </w:r>
    </w:p>
    <w:p>
      <w:pPr>
        <w:pStyle w:val="ListBullet"/>
      </w:pPr>
      <w:r>
        <w:t xml:space="preserve">A </w:t>
      </w:r>
      <w:r>
        <w:rPr>
          <w:b/>
        </w:rPr>
        <w:t>real rare-earth recycling cluster</w:t>
      </w:r>
      <w:r>
        <w:t>: Ionic Technologies (400 tpa target),</w:t>
      </w:r>
    </w:p>
    <w:p>
      <w:r>
        <w:t>QUB's QUILL laboratory, and turbine-recycling firms.</w:t>
      </w:r>
    </w:p>
    <w:p>
      <w:pPr>
        <w:pStyle w:val="ListBullet"/>
      </w:pPr>
      <w:r>
        <w:rPr>
          <w:b/>
        </w:rPr>
        <w:t>Belfast Harbour</w:t>
      </w:r>
      <w:r>
        <w:t xml:space="preserve"> as an offshore-wind decommissioning hub — a feedstock pipeline</w:t>
      </w:r>
    </w:p>
    <w:p>
      <w:r>
        <w:t>for magnet recycling.</w:t>
      </w:r>
    </w:p>
    <w:p>
      <w:pPr>
        <w:pStyle w:val="ListBullet"/>
      </w:pPr>
      <w:r>
        <w:rPr>
          <w:b/>
        </w:rPr>
        <w:t>Dual UK + EU market access</w:t>
      </w:r>
      <w:r>
        <w:t xml:space="preserve"> via the Windsor Framework — unique in the UK.</w:t>
      </w:r>
    </w:p>
    <w:p>
      <w:pPr>
        <w:pStyle w:val="ListBullet"/>
      </w:pPr>
      <w:r>
        <w:t xml:space="preserve">A </w:t>
      </w:r>
      <w:r>
        <w:rPr>
          <w:b/>
        </w:rPr>
        <w:t>£1.16bn named-firm investment pipeline</w:t>
      </w:r>
      <w:r>
        <w:t xml:space="preserve"> already across the supply chain.</w:t>
      </w:r>
    </w:p>
    <w:p>
      <w:pPr>
        <w:pStyle w:val="Heading2"/>
      </w:pPr>
      <w:r>
        <w:t>How to read these numbers</w:t>
      </w:r>
    </w:p>
    <w:p>
      <w:r>
        <w:t>This is a policy simulator, not a forecast. The economic structure, behavioural</w:t>
      </w:r>
    </w:p>
    <w:p>
      <w:r>
        <w:t xml:space="preserve">parameters and many physical-flow figures are </w:t>
      </w:r>
      <w:r>
        <w:rPr>
          <w:b/>
        </w:rPr>
        <w:t>proxy</w:t>
      </w:r>
      <w:r>
        <w:t xml:space="preserve"> values (flagged in the data</w:t>
      </w:r>
    </w:p>
    <w:p>
      <w:r>
        <w:t>register) pending NISRA input-output/SAM data, NI critical-mineral waste-flow data,</w:t>
      </w:r>
    </w:p>
    <w:p>
      <w:r>
        <w:t xml:space="preserve">and a firm-level survey. The model is </w:t>
      </w:r>
      <w:r>
        <w:rPr>
          <w:b/>
        </w:rPr>
        <w:t>validated</w:t>
      </w:r>
      <w:r>
        <w:t xml:space="preserve"> against the Minviro anchors and</w:t>
      </w:r>
    </w:p>
    <w:p>
      <w:r>
        <w:t>passes a 53-check verification harness (invariant + property-based) on every change. Swapping the proxies for</w:t>
      </w:r>
    </w:p>
    <w:p>
      <w:r>
        <w:t>collected data — same model — turns this into a calibrated decision tool.</w:t>
      </w:r>
    </w:p>
    <w:p>
      <w:r>
        <w:t>*Full method, equations, data sources and assumptions:</w:t>
      </w:r>
    </w:p>
    <w:p>
      <w:r>
        <w:rPr>
          <w:rFonts w:ascii="Consolas" w:hAnsi="Consolas"/>
        </w:rPr>
        <w:t>TECHNICAL_DOCUMENTATION.md</w:t>
      </w:r>
      <w:r>
        <w:t>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