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Q2.3 — What support do businesses need to participate in the minerals supply chain?</w:t>
      </w:r>
    </w:p>
    <w:p>
      <w:r>
        <w:rPr>
          <w:b/>
        </w:rPr>
        <w:t>Method (grounded in the strategy documents):</w:t>
      </w:r>
      <w:r>
        <w:t xml:space="preserve"> Vision 2035 warns supply chains are *vulnerable to shocks such as natural disasters, war or geopolitical fallout* driven by concentration. We model a </w:t>
      </w:r>
      <w:r>
        <w:rPr>
          <w:b/>
        </w:rPr>
        <w:t>dominant-supplier loss</w:t>
      </w:r>
      <w:r>
        <w:t xml:space="preserve"> — per-mineral import caps = 1 − (single-country share) using the cited 2023 concentration (China 74% REE, DRC 70% Co, Australia 44% Li; BGS/Idoine 2025) — plus a price spike. Support levers map to </w:t>
      </w:r>
      <w:r>
        <w:rPr>
          <w:b/>
        </w:rPr>
        <w:t>named UK instruments</w:t>
      </w:r>
      <w:r>
        <w:t xml:space="preserve"> (NWF/UKEF, BICS, EA priority permitting, Skills England, CLIMATES/Faraday R&amp;D, UKEF offtake, defence stockpiling). Firms are mapped to supply-chain stages; outcomes are read by stage. Figures are model behaviour, not forecasts.</w:t>
      </w:r>
    </w:p>
    <w:p>
      <w:pPr>
        <w:pStyle w:val="Heading2"/>
      </w:pPr>
      <w:r>
        <w:t>The shock hits stages differently</w:t>
      </w:r>
    </w:p>
    <w:p>
      <w:pPr>
        <w:pStyle w:val="ListBullet"/>
      </w:pPr>
      <w:r>
        <w:t xml:space="preserve">Without support the shock opens a </w:t>
      </w:r>
      <w:r>
        <w:rPr>
          <w:b/>
        </w:rPr>
        <w:t>critical-mineral supply gap of 20%</w:t>
      </w:r>
      <w:r>
        <w:t xml:space="preserve"> (unmet demand) and pushes single-country exposure to 25% — the </w:t>
      </w:r>
      <w:r>
        <w:rPr>
          <w:b/>
        </w:rPr>
        <w:t>downstream manufacturers</w:t>
      </w:r>
      <w:r>
        <w:t xml:space="preserve"> carry this as input-cost and supply insecurity.</w:t>
      </w:r>
    </w:p>
    <w:p>
      <w:pPr>
        <w:pStyle w:val="ListBullet"/>
      </w:pPr>
      <w:r>
        <w:t xml:space="preserve">The same shock is an </w:t>
      </w:r>
      <w:r>
        <w:rPr>
          <w:b/>
        </w:rPr>
        <w:t>opportunity for upstream and midstream firms</w:t>
      </w:r>
      <w:r>
        <w:t>: higher prices lift recovery and mining viability (recycled share 15% → 14%), but only if they have the finance/capacity to respond.</w:t>
      </w:r>
    </w:p>
    <w:p>
      <w:pPr>
        <w:pStyle w:val="ListBullet"/>
      </w:pPr>
      <w:r>
        <w:rPr>
          <w:b/>
        </w:rPr>
        <w:t>The aggregate gap masks acute, mineral-specific exposure.</w:t>
      </w:r>
      <w:r>
        <w:t xml:space="preserve"> Per mineral the unmet-demand gap is: REE_magnet 73%, Antimony 70%, Cobalt 69%, Lithium 43%, Nickel 27%, Aluminium 19%, Copper 12%. The most single-source-concentrated minerals (REE, antimony, cobalt) lose almost their entire supply, while bulk metals (copper, aluminium) are barely affected — so support should be *targeted by mineral and by the firms that depend on it*, not spread evenly.</w:t>
      </w:r>
    </w:p>
    <w:p>
      <w:pPr>
        <w:pStyle w:val="Heading2"/>
      </w:pPr>
      <w:r>
        <w:t>Support needed, by supply-chain stage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6"/>
              </w:rPr>
              <w:t>stage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firms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employees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binding_challenge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shock_exposure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support_needed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model_levers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Upstream (primary/mining)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2840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Finance + social licence + permitting; ~20-yr lead time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Opportunity (price signal) — if it can be financed/permitted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NWF/UKEF co-investment, exploration grant, faster permitting, community-benefit scheme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finance_support, exploration_grant, permit_years, community_benefit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Midstream (processing/recovery + collection)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894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Pilot-&gt;commercial 'valley of death'; capacity gap (1 processor); feedstock; energy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Opportunity (substitution) — but capacity-constrained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First-of-a-kind/scale-up capital (cost-share + blended finance), BICS energy, R&amp;D, long-term offtake+price floor, collection/DRS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recycling_grant, energy_cost_index, innovation_grant, secondary_market_support, collection_infrastructure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Downstream (manufacturers)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9970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Input-cost/price volatility, supply insecurity, secondary-material access, data/traceability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Threat (input-cost squeeze + supply gap)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Recycled-content procurement, secondary-materials marketplace, supplier development, ecodesign, product-passport data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recycled_content_procurement, secondary_market_support, local_supplier_support, design_standards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Enabling (equipment + skills + reserves)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Skills pipeline, equipment market access, export finance, residual supply risk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Cross-cutting — lets the chain respond and buffers the residual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Green-skills academy (Skills England/DWP), cluster + supplier development, UKEF export support, strategic stockpile/procurement reserve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skills_support, local_supplier_support, strategic_stockpile</w:t>
            </w:r>
          </w:p>
        </w:tc>
      </w:tr>
    </w:tbl>
    <w:p>
      <w:pPr>
        <w:pStyle w:val="Heading2"/>
      </w:pPr>
      <w:r>
        <w:t>What the model says each support package does (under the shock)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label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supply_gap_early5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crit_supply_gap_end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crit_recycled_share_end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crit_domestic_share_end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total_jobs_end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cum_disc_gva_gbp_m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d_total_jobs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0_no_shock_no_support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 shock, no support (reference)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0.147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1147.7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788.3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78.5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shock_no_support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Upstream shock, no support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0.051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0.204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0.135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1069.2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771.5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shock_upstream_support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Shock + upstream (primary) support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0.051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0.155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0.135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0.076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1687.4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989.6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618.2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shock_midstream_support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Shock + midstream (processing/collection) support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0.016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0.136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0.204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1420.6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1008.5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351.4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shock_downstream_support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Shock + downstream (manufacturer) support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0.051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0.204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0.135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1068.8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771.6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-0.4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shock_enabling_support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Shock + enabling (skills/supplier) support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0.038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0.204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0.135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1069.0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772.3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-0.2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shock_full_support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Shock + full cross-chain support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0.112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0.204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0.076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2038.5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1235.4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969.3</w:t>
            </w:r>
          </w:p>
        </w:tc>
      </w:tr>
    </w:tbl>
    <w:p>
      <w:pPr>
        <w:pStyle w:val="ListBullet"/>
      </w:pPr>
      <w:r>
        <w:rPr>
          <w:b/>
        </w:rPr>
        <w:t>Most resilience per single package:</w:t>
      </w:r>
      <w:r>
        <w:t xml:space="preserve"> </w:t>
      </w:r>
      <w:r>
        <w:rPr>
          <w:rFonts w:ascii="Consolas" w:hAnsi="Consolas"/>
        </w:rPr>
        <w:t>shock_upstream_support</w:t>
      </w:r>
      <w:r>
        <w:t xml:space="preserve"> (Shock + upstream (primary) support) — +618 jobs vs the unsupported shock.</w:t>
      </w:r>
    </w:p>
    <w:p>
      <w:pPr>
        <w:pStyle w:val="ListBullet"/>
      </w:pPr>
      <w:r>
        <w:rPr>
          <w:b/>
        </w:rPr>
        <w:t>Midstream support closes the supply gap</w:t>
      </w:r>
      <w:r>
        <w:t xml:space="preserve"> (builds the recovery capacity that converts the shock into domestic secondary supply: recycled share rises to 20%); </w:t>
      </w:r>
      <w:r>
        <w:rPr>
          <w:b/>
        </w:rPr>
        <w:t>upstream support</w:t>
      </w:r>
      <w:r>
        <w:t xml:space="preserve"> brings domestic primary forward where social licence allows (domestic share to 8%).</w:t>
      </w:r>
    </w:p>
    <w:p>
      <w:pPr>
        <w:pStyle w:val="ListBullet"/>
      </w:pPr>
      <w:r>
        <w:rPr>
          <w:b/>
        </w:rPr>
        <w:t>Crucial sequencing finding:</w:t>
      </w:r>
      <w:r>
        <w:t xml:space="preserve"> *downstream support alone barely moves the dial* under the shock (GVA £771.6m vs £771.5m unsupported) — manufacturers cannot buy recycled content that does not yet exist. Recycled-content procurement and supplier development only pay off </w:t>
      </w:r>
      <w:r>
        <w:rPr>
          <w:b/>
        </w:rPr>
        <w:t>once midstream capacity is built</w:t>
      </w:r>
      <w:r>
        <w:t>, so downstream support must be sequenced with (or after) midstream investment.</w:t>
      </w:r>
    </w:p>
    <w:p>
      <w:pPr>
        <w:pStyle w:val="ListBullet"/>
      </w:pPr>
      <w:r>
        <w:rPr>
          <w:b/>
        </w:rPr>
        <w:t>Stockpile = a thin, short bridge — not a fix.</w:t>
      </w:r>
      <w:r>
        <w:t xml:space="preserve"> Sized to real strategic-reserve targets (Japan/JOGMEC 60–180 days, Korea/KOMIR 100 days), the enabling package's reserve only *trims* the </w:t>
      </w:r>
      <w:r>
        <w:rPr>
          <w:b/>
        </w:rPr>
        <w:t>early-shock</w:t>
      </w:r>
      <w:r>
        <w:t xml:space="preserve"> gap (first 5 yrs) from 5% to 4% and then DEPLETES (~1.5–2 yr cover), so the </w:t>
      </w:r>
      <w:r>
        <w:rPr>
          <w:b/>
        </w:rPr>
        <w:t>end-state</w:t>
      </w:r>
      <w:r>
        <w:t xml:space="preserve"> gap returns to 20% (= unsupported) and it builds no industry (GVA £772.3m). By contrast, midstream support gives durable protection (end gap 14%, recycled share 20%, GVA £1008.5m) but little *immediate* relief (early gap 2%); upstream mining gives </w:t>
      </w:r>
      <w:r>
        <w:rPr>
          <w:b/>
        </w:rPr>
        <w:t>no early relief at all</w:t>
      </w:r>
      <w:r>
        <w:t xml:space="preserve"> (early gap 5% — mines take years to permit/build).</w:t>
      </w:r>
    </w:p>
    <w:p>
      <w:pPr>
        <w:pStyle w:val="ListBullet"/>
      </w:pPr>
      <w:r>
        <w:rPr>
          <w:b/>
        </w:rPr>
        <w:t>So the sequencing is: stockpile to bridge the first years while midstream + upstream capacity is built.</w:t>
      </w:r>
      <w:r>
        <w:t xml:space="preserve"> Full support uses the stockpile early (gap 1%) and the new capacity later (end gap 11%).</w:t>
      </w:r>
    </w:p>
    <w:p>
      <w:pPr>
        <w:pStyle w:val="ListBullet"/>
      </w:pPr>
      <w:r>
        <w:rPr>
          <w:b/>
        </w:rPr>
        <w:t>Full cross-chain support</w:t>
      </w:r>
      <w:r>
        <w:t xml:space="preserve"> cuts the supply gap to 11% and lifts total jobs to 2038 (+969 vs unsupported shock), £1235.4m discounted GVA.</w:t>
      </w:r>
    </w:p>
    <w:p>
      <w:pPr>
        <w:pStyle w:val="Heading2"/>
      </w:pPr>
      <w:r>
        <w:t>Resilience across shock severity (½ → 1.5× of the dominant supplier lost)</w:t>
      </w:r>
    </w:p>
    <w:p>
      <w:r>
        <w:t xml:space="preserve">Critical-mineral </w:t>
      </w:r>
      <w:r>
        <w:rPr>
          <w:b/>
        </w:rPr>
        <w:t>supply gap</w:t>
      </w:r>
      <w:r>
        <w:t xml:space="preserve"> (unmet demand) by shock severity (how much of the dominant single supplier is cut off) and support package — lower is more resilient. The </w:t>
      </w:r>
      <w:r>
        <w:rPr>
          <w:rFonts w:ascii="Consolas" w:hAnsi="Consolas"/>
        </w:rPr>
        <w:t>full</w:t>
      </w:r>
      <w:r>
        <w:t xml:space="preserve"> package includes the Vision-2035 strategic-stockpile/procurement reserve: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no_support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upstream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midstream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full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mild_half_supplier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0.033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0.033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0.027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moderate_supplier_lost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0.204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0.155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0.136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0.112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severe_+25pct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0.18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extreme_+50pct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0.398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0.327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0.331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0.266</w:t>
            </w:r>
          </w:p>
        </w:tc>
      </w:tr>
    </w:tbl>
    <w:p>
      <w:pPr>
        <w:pStyle w:val="ListBullet"/>
      </w:pPr>
      <w:r>
        <w:rPr>
          <w:b/>
        </w:rPr>
        <w:t>The gap scales with severity:</w:t>
      </w:r>
      <w:r>
        <w:t xml:space="preserve"> unsupported, it rises from 3% (mild) to 40% (extreme).</w:t>
      </w:r>
    </w:p>
    <w:p>
      <w:pPr>
        <w:pStyle w:val="ListBullet"/>
      </w:pPr>
      <w:r>
        <w:rPr>
          <w:b/>
        </w:rPr>
        <w:t>Support is more valuable the more severe the shock</w:t>
      </w:r>
      <w:r>
        <w:t xml:space="preserve"> — but no single stage is enough under an extreme shock: midstream support alone leaves a 33% gap, whereas </w:t>
      </w:r>
      <w:r>
        <w:rPr>
          <w:b/>
        </w:rPr>
        <w:t>full cross-chain support holds it to 27%</w:t>
      </w:r>
      <w:r>
        <w:t>. Mild shocks can be absorbed by midstream capacity alone; severe shocks need upstream + midstream + downstream together.</w:t>
      </w:r>
    </w:p>
    <w:p>
      <w:pPr>
        <w:pStyle w:val="ListBullet"/>
      </w:pPr>
      <w:r>
        <w:rPr>
          <w:b/>
        </w:rPr>
        <w:t>Implication:</w:t>
      </w:r>
      <w:r>
        <w:t xml:space="preserve"> the depth of support should scale with assessed supply risk. For low-risk minerals, fund the midstream (recovery) capacity; for high-risk, single-source-dependent minerals (REE/Co/Li), the full cross-chain package is justified.</w:t>
      </w:r>
    </w:p>
    <w:p>
      <w:pPr>
        <w:pStyle w:val="Heading2"/>
      </w:pPr>
      <w:r>
        <w:t>Recommendations (stage-differentiated business support)</w:t>
      </w:r>
    </w:p>
    <w:p>
      <w:pPr>
        <w:pStyle w:val="ListNumber"/>
      </w:pPr>
      <w:r>
        <w:rPr>
          <w:b/>
        </w:rPr>
        <w:t>Upstream firms</w:t>
      </w:r>
      <w:r>
        <w:t xml:space="preserve"> need *capital and confidence*: National Wealth Fund / UK Export Finance co-investment and guarantees, faster/clearer permitting, and a community-benefit scheme to convert price signals into actual domestic supply.</w:t>
      </w:r>
    </w:p>
    <w:p>
      <w:pPr>
        <w:pStyle w:val="ListNumber"/>
      </w:pPr>
      <w:r>
        <w:rPr>
          <w:b/>
        </w:rPr>
        <w:t>Midstream processors/recyclers</w:t>
      </w:r>
      <w:r>
        <w:t xml:space="preserve"> (the binding capacity gap) need help to </w:t>
      </w:r>
      <w:r>
        <w:rPr>
          <w:b/>
        </w:rPr>
        <w:t>cross the 'valley of death' from pilot to commercial scale</w:t>
      </w:r>
      <w:r>
        <w:t xml:space="preserve"> — the single biggest barrier to a firm like Ionic moving from a 400 tpa pilot to a commercial plant. The decisive instruments are: (a) </w:t>
      </w:r>
      <w:r>
        <w:rPr>
          <w:b/>
        </w:rPr>
        <w:t>first-of-a-kind (FOAK) / scale-up capital with cost-share</w:t>
      </w:r>
      <w:r>
        <w:t xml:space="preserve"> (cf. US DOE Critical Minerals Accelerator: 20% cost share at prototype, 50% at pilot/demonstration) and </w:t>
      </w:r>
      <w:r>
        <w:rPr>
          <w:b/>
        </w:rPr>
        <w:t>blended public–private finance</w:t>
      </w:r>
      <w:r>
        <w:t xml:space="preserve"> (cf. US–Australia $500m fund) that crowds in private capital; (b) </w:t>
      </w:r>
      <w:r>
        <w:rPr>
          <w:b/>
        </w:rPr>
        <w:t>long-term offtake with a price floor</w:t>
      </w:r>
      <w:r>
        <w:t xml:space="preserve"> to give lenders demand certainty (cf. US DoD–MP Materials: 10-yr offtake at $110/kg NdPr); plus BICS energy relief, R&amp;D co-funding and collection/DRS feedstock. Price volatility is what keeps private lenders out, so </w:t>
      </w:r>
      <w:r>
        <w:rPr>
          <w:b/>
        </w:rPr>
        <w:t>state-capital tools (offtake, price floors, equity, cost-share) are the proven unlock</w:t>
      </w:r>
      <w:r>
        <w:t xml:space="preserve"> — and they must be *structural and recurring*, not one-off.</w:t>
      </w:r>
    </w:p>
    <w:p>
      <w:pPr>
        <w:pStyle w:val="ListNumber"/>
      </w:pPr>
      <w:r>
        <w:rPr>
          <w:b/>
        </w:rPr>
        <w:t>Downstream manufacturers</w:t>
      </w:r>
      <w:r>
        <w:t xml:space="preserve"> need *supply security and secondary-material access*: recycled-content procurement, a secondary-materials marketplace, supplier-development support, and ecodesign standards — sequenced *after* midstream capacity so there is secondary material to buy.</w:t>
      </w:r>
    </w:p>
    <w:p>
      <w:pPr>
        <w:pStyle w:val="ListNumber"/>
      </w:pPr>
      <w:r>
        <w:rPr>
          <w:b/>
        </w:rPr>
        <w:t>Lower the cost of participating — a single 'strategic project' front door.</w:t>
      </w:r>
      <w:r>
        <w:t xml:space="preserve"> The EU CRMA bundles, behind one designation, </w:t>
      </w:r>
      <w:r>
        <w:rPr>
          <w:b/>
        </w:rPr>
        <w:t>faster permitting (15 months for processing/recycling, 27 for extraction), facilitated access to finance, and government-run offtake matchmaking</w:t>
      </w:r>
      <w:r>
        <w:t xml:space="preserve">. A firm should get all three from one decision, not chase them separately. NI is uniquely placed: under </w:t>
      </w:r>
      <w:r>
        <w:rPr>
          <w:b/>
        </w:rPr>
        <w:t>Windsor Framework Art. 13(4)</w:t>
      </w:r>
      <w:r>
        <w:t xml:space="preserve"> an NI project could access EU CRMA strategic-project status *and* the UK NWF/UKEF/BICS offer — a genuine dual-market participation advantage.</w:t>
      </w:r>
    </w:p>
    <w:p>
      <w:pPr>
        <w:pStyle w:val="ListNumber"/>
      </w:pPr>
      <w:r>
        <w:rPr>
          <w:b/>
        </w:rPr>
        <w:t>Cross-cutting:</w:t>
      </w:r>
      <w:r>
        <w:t xml:space="preserve"> a green-skills academy and a minerals/circular cluster (anchored on CDE/Terex equipment makers and QUB); and a </w:t>
      </w:r>
      <w:r>
        <w:rPr>
          <w:b/>
        </w:rPr>
        <w:t>strategic stockpile sized to ~180 days</w:t>
      </w:r>
      <w:r>
        <w:t xml:space="preserve"> (Japan/Korea practice) as a *bridge* for the most concentrated minerals (REE/Co) while domestic capacity is built — not a substitute for it. International diversification (Vision 2035) covers the residual.</w:t>
      </w:r>
    </w:p>
    <w:p>
      <w:r>
        <w:rPr>
          <w:b/>
        </w:rPr>
        <w:t>Overarching:</w:t>
      </w:r>
      <w:r>
        <w:t xml:space="preserve"> the participation barrier is the </w:t>
      </w:r>
      <w:r>
        <w:rPr>
          <w:b/>
        </w:rPr>
        <w:t>pilot-to-commercial valley of death</w:t>
      </w:r>
      <w:r>
        <w:t>, and the fix is *structural, recurring* support (cost-share FOAK finance + offtake + a one-stop strategic-project route), not one-off grants — evidence is that one-off investments do not by themselves secure supply; standing finance/offtake/skills institutions do.</w:t>
      </w:r>
    </w:p>
    <w:p>
      <w:pPr>
        <w:pStyle w:val="Heading2"/>
      </w:pPr>
      <w:r>
        <w:t>Sources</w:t>
      </w:r>
    </w:p>
    <w:p>
      <w:pPr>
        <w:pStyle w:val="ListBullet"/>
      </w:pPr>
      <w:r>
        <w:t>UK Critical Minerals Strategy — Vision 2035 (DBT, Jan 2026): NWF/UKEF, BICS, EA priority permitting, Skills England/DWP, defence stockpiling, offtake, partnerships</w:t>
      </w:r>
    </w:p>
    <w:p>
      <w:pPr>
        <w:pStyle w:val="ListBullet"/>
      </w:pPr>
      <w:r>
        <w:t>Model proposal Q2.3 taxonomy: finance, skills, data, permits, offtake, export, recycling infrastructure, supplier-development support</w:t>
      </w:r>
    </w:p>
    <w:p>
      <w:pPr>
        <w:pStyle w:val="ListBullet"/>
      </w:pPr>
      <w:r>
        <w:t>GSNI/BGS — Critical Minerals and the Circular Economy in NI (OR25042, 2025): ~80% UK metals exported for processing; supply concentration; ~20-yr lead times; declining grades</w:t>
      </w:r>
    </w:p>
    <w:p>
      <w:pPr>
        <w:pStyle w:val="ListBullet"/>
      </w:pPr>
      <w:r>
        <w:t>BGS/Idoine et al. (2025): 2023 single-country supply concentration (REE 74%, Co 70%, Li 44%)</w:t>
      </w:r>
    </w:p>
    <w:p>
      <w:pPr>
        <w:pStyle w:val="ListBullet"/>
      </w:pPr>
      <w:r>
        <w:t>Minviro Final Report: local-procurement leakage and skills constraints</w:t>
      </w:r>
    </w:p>
    <w:p>
      <w:pPr>
        <w:pStyle w:val="ListBullet"/>
      </w:pPr>
      <w:r>
        <w:t>Innovate UK CLIMATES (£15m) + Faraday/ReLiB (£34m); DEFRA DRS impact assessment</w:t>
      </w:r>
    </w:p>
    <w:p>
      <w:pPr>
        <w:pStyle w:val="ListBullet"/>
      </w:pPr>
      <w:r>
        <w:t>Strategic stockpiles: Japan/JOGMEC 60–180 days, Korea/KOMIR 100 days (IEA; CSEP 2025)</w:t>
      </w:r>
    </w:p>
    <w:p>
      <w:pPr>
        <w:pStyle w:val="ListBullet"/>
      </w:pPr>
      <w:r>
        <w:t>Offtake/price floor: US DoD–MP Materials 10-yr offtake at $110/kg NdPr (CSIS 2025)</w:t>
      </w:r>
    </w:p>
    <w:p>
      <w:pPr>
        <w:pStyle w:val="ListBullet"/>
      </w:pPr>
      <w:r>
        <w:t>State-capital tools (offtake, price floors, equity) de-risk price-volatile midstream; one-off investments alone do not secure supply (Resources for the Future, 2025)</w:t>
      </w:r>
    </w:p>
    <w:p>
      <w:pPr>
        <w:pStyle w:val="ListBullet"/>
      </w:pPr>
      <w:r>
        <w:t>Pilot-&gt;commercial 'valley of death' + FOAK cost-share: US DOE Critical Minerals Accelerator (20% prototype / 50% pilot cost share); blended finance US–Australia $500m fund (Third Way; DOE 2025)</w:t>
      </w:r>
    </w:p>
    <w:p>
      <w:pPr>
        <w:pStyle w:val="ListBullet"/>
      </w:pPr>
      <w:r>
        <w:t>Strategic-project package: EU CRMA faster permitting (15 mo processing / 27 mo extraction) + finance facilitation + offtake matchmaking (European Commission 2025)</w:t>
      </w:r>
    </w:p>
    <w:p>
      <w:r>
        <w:t>*Behavioural thresholds and the shock magnitude are PROXY; calibrate with firm-level survey, trade-exposure and licensing data.*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