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(61-check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IntenseQuote"/>
      </w:pPr>
      <w:r>
        <w:rPr>
          <w:b/>
        </w:rPr>
        <w:t>This revision incorporates new external evidence</w:t>
      </w:r>
      <w:r>
        <w:t xml:space="preserve"> (data register + model code): the </w:t>
      </w:r>
      <w:r>
        <w:rPr>
          <w:b/>
        </w:rPr>
        <w:t>Vision 2035 annex 2035 cumulative-demand tonnages</w:t>
      </w:r>
      <w:r>
        <w:t xml:space="preserve"> as the demand anchor; an </w:t>
      </w:r>
      <w:r>
        <w:rPr>
          <w:b/>
        </w:rPr>
        <w:t>IEA-2025 top-three &amp; refining/processing concentration risk metric</w:t>
      </w:r>
      <w:r>
        <w:t xml:space="preserve"> (and export-control flag) beside single-country exposure (Q2.4); the </w:t>
      </w:r>
      <w:r>
        <w:rPr>
          <w:b/>
        </w:rPr>
        <w:t>"critical &amp; growth minerals"</w:t>
      </w:r>
      <w:r>
        <w:t xml:space="preserve"> distinction (copper is a UK *growth* mineral); the </w:t>
      </w:r>
      <w:r>
        <w:rPr>
          <w:b/>
        </w:rPr>
        <w:t>NISRA ASHE 2025</w:t>
      </w:r>
      <w:r>
        <w:t xml:space="preserve"> wage anchor (£37,100, 2024 retained as a sensitivity); the </w:t>
      </w:r>
      <w:r>
        <w:rPr>
          <w:b/>
        </w:rPr>
        <w:t>NISRA NIETS 2024</w:t>
      </w:r>
      <w:r>
        <w:t xml:space="preserve"> trade frame for Q2.6 exports/avoided imports; and the </w:t>
      </w:r>
      <w:r>
        <w:rPr>
          <w:b/>
        </w:rPr>
        <w:t>EU-CRMA stretch targets</w:t>
      </w:r>
      <w:r>
        <w:t xml:space="preserve"> (25% recycling, ≤65% single-country) as an EU-market sensitivity. The harness is now </w:t>
      </w:r>
      <w:r>
        <w:rPr>
          <w:b/>
        </w:rPr>
        <w:t>61 checks</w:t>
      </w:r>
      <w:r>
        <w:t>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(bottom). Stage employment is summed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61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the geopolitical features (diversification, time-varying shock), and the </w:t>
      </w:r>
      <w:r>
        <w:rPr>
          <w:b/>
        </w:rPr>
        <w:t>IEA-2025 top-three/refining/export-control risk metrics</w:t>
      </w:r>
      <w:r>
        <w:t xml:space="preserve"> (top-three exposure ≥ single-country; refining &amp; export-control exposures bounded).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61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 xml:space="preserve">). A durable, layered validation report (design rationale, summary, per-check results and limitations) is generated by </w:t>
      </w:r>
      <w:r>
        <w:rPr>
          <w:rFonts w:ascii="Consolas" w:hAnsi="Consolas"/>
        </w:rPr>
        <w:t>model/validate_model_report.py</w:t>
      </w:r>
      <w:r>
        <w:t xml:space="preserve"> → </w:t>
      </w:r>
      <w:r>
        <w:rPr>
          <w:rFonts w:ascii="Consolas" w:hAnsi="Consolas"/>
        </w:rPr>
        <w:t>word/Model_Validation_Report.docx</w:t>
      </w:r>
      <w:r>
        <w:t xml:space="preserve"> (61 passed / 0 failed).</w:t>
      </w:r>
    </w:p>
    <w:p>
      <w:r>
        <w:rPr>
          <w:b/>
        </w:rPr>
        <w:t>(c) Validation of the new evidence layer (this revision).</w:t>
      </w:r>
      <w:r>
        <w:t xml:space="preserve"> The IEA-2025 risk indices and the critical/growth split were independently re-validated across a 30-year shocked run: </w:t>
      </w:r>
      <w:r>
        <w:rPr>
          <w:b/>
        </w:rPr>
        <w:t>top-three exposure ≥ single-country exposure in every year</w:t>
      </w:r>
      <w:r>
        <w:t xml:space="preserve"> (the top-three cluster always contains the dominant supplier), </w:t>
      </w:r>
      <w:r>
        <w:rPr>
          <w:b/>
        </w:rPr>
        <w:t>refining, export-control and critical-only shares stay within [0,1] every year</w:t>
      </w:r>
      <w:r>
        <w:t xml:space="preserve">, and </w:t>
      </w:r>
      <w:r>
        <w:rPr>
          <w:b/>
        </w:rPr>
        <w:t>determinism holds with the new columns</w:t>
      </w:r>
      <w:r>
        <w:t xml:space="preserve"> (identical reruns match). The </w:t>
      </w:r>
      <w:r>
        <w:rPr>
          <w:b/>
        </w:rPr>
        <w:t>critical-only</w:t>
      </w:r>
      <w:r>
        <w:t xml:space="preserve"> recycled share (copper excluded) runs *below* the critical-&amp;-growth figure (e.g. ~0.165 vs ~0.225 in the shocked run) — confirming that including copper, a UK *growth* mineral, modestly flatters the headline critical-mineral share, which is exactly why it is reported separately.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(~105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EU-CRMA targets (2030)</w:t>
            </w:r>
            <w:r>
              <w:rPr>
                <w:sz w:val="16"/>
              </w:rPr>
              <w:t xml:space="preserve"> — EU-stretch sensitivity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10% extraction / 40% processing / </w:t>
            </w:r>
            <w:r>
              <w:rPr>
                <w:b/>
                <w:sz w:val="16"/>
              </w:rPr>
              <w:t>25% recycling</w:t>
            </w:r>
            <w:r>
              <w:rPr>
                <w:sz w:val="16"/>
              </w:rPr>
              <w:t xml:space="preserve">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£37,100/yr (£713/wk)</w:t>
            </w:r>
            <w:r>
              <w:rPr>
                <w:sz w:val="16"/>
              </w:rPr>
              <w:t xml:space="preserve"> — up from £34,632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Top-three producer concentration (2024)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~86%</w:t>
            </w:r>
            <w:r>
              <w:rPr>
                <w:sz w:val="16"/>
              </w:rPr>
              <w:t xml:space="preserve"> for Cu/Li/Ni/Co/graphite/REE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Refining concentration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China leads refining for </w:t>
            </w:r>
            <w:r>
              <w:rPr>
                <w:b/>
                <w:sz w:val="16"/>
              </w:rPr>
              <w:t>19 of 20</w:t>
            </w:r>
            <w:r>
              <w:rPr>
                <w:sz w:val="16"/>
              </w:rPr>
              <w:t xml:space="preserve"> strategic minerals (~70% avg)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Export controls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affect </w:t>
            </w:r>
            <w:r>
              <w:rPr>
                <w:b/>
                <w:sz w:val="16"/>
              </w:rPr>
              <w:t>~55%</w:t>
            </w:r>
            <w:r>
              <w:rPr>
                <w:sz w:val="16"/>
              </w:rPr>
              <w:t xml:space="preserve"> of energy-related strategic minerals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£11.2bn; surplus £8.4bn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</w:t>
      </w:r>
      <w:r>
        <w:t xml:space="preserve"> is anchored to the </w:t>
      </w:r>
      <w:r>
        <w:rPr>
          <w:b/>
        </w:rPr>
        <w:t>Vision 2035 Technical Annex (Annex 2) 2035 cumulative-demand tonnages</w:t>
      </w:r>
      <w:r>
        <w:t xml:space="preserve"> (now in the data register with provenance), not hand-set growth proxies.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2035 cumulative demand (UK, t)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8,003,000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Copper *(growth mineral)*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3,619,000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867,200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339,200 (LCE)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37,940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</w:tbl>
    <w:p>
      <w:pPr>
        <w:pStyle w:val="IntenseQuote"/>
      </w:pPr>
      <w:r>
        <w:rPr>
          <w:b/>
        </w:rPr>
        <w:t>Critical vs growth minerals.</w:t>
      </w:r>
      <w:r>
        <w:t xml:space="preserve"> Per the Vision 2035 annex, </w:t>
      </w:r>
      <w:r>
        <w:rPr>
          <w:b/>
        </w:rPr>
        <w:t>copper is a UK *growth* mineral</w:t>
      </w:r>
      <w:r>
        <w:t xml:space="preserve"> (fundamental to advanced manufacturing &amp; clean energy), </w:t>
      </w:r>
      <w:r>
        <w:rPr>
          <w:b/>
        </w:rPr>
        <w:t>not</w:t>
      </w:r>
      <w:r>
        <w:t xml:space="preserve"> a current UK *critical* mineral. The model keeps copper inside the supply-security aggregates (it is strategically central to NI) but flags it, so the basket is reported as </w:t>
      </w:r>
      <w:r>
        <w:rPr>
          <w:b/>
        </w:rPr>
        <w:t>"critical &amp; growth minerals"</w:t>
      </w:r>
      <w:r>
        <w:t xml:space="preserve"> and copper's relatively secure, well-diversified supply does not overstate the *critical*-mineral domestic/recycled share.</w:t>
      </w:r>
    </w:p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proxy; the water/land/biodiversity/waste indices in Q2.7 are dimensionless </w:t>
      </w:r>
      <w:r>
        <w:rPr>
          <w:b/>
        </w:rPr>
        <w:t>relative</w:t>
      </w:r>
      <w:r>
        <w:t xml:space="preserve"> pressures — the model does </w:t>
      </w:r>
      <w:r>
        <w:rPr>
          <w:b/>
        </w:rPr>
        <w:t>not</w:t>
      </w:r>
      <w:r>
        <w:t xml:space="preserve"> do site-specific impact assessment.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collection is the binding constraint, not processing capacity</w:t>
      </w:r>
      <w:r>
        <w:t xml:space="preserve"> — smart collection/DRS is the *only* single lever that reaches the Vision-2035 20% recycling target (subsidising recovery *plant* alone moves nothing because NI's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feedstock. </w:t>
      </w:r>
      <w:r>
        <w:rPr>
          <w:b/>
        </w:rPr>
        <w:t>Against the stricter EU-CRMA 25% (2030) recycling stretch</w:t>
      </w:r>
      <w:r>
        <w:t xml:space="preserve"> — relevant if NI serves the EU market under the Windsor Framework — *no single lever qualifies*; only the integrated package approaches it, reinforcing that the EU benchmark requires the full circular build-out.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</w:t>
      </w:r>
      <w:r>
        <w:rPr>
          <w:b/>
        </w:rPr>
        <w:t>Copper (0.60, *growth* mineral, primary+recycling)</w:t>
      </w:r>
      <w:r>
        <w:t xml:space="preserve">, Lithium (0.55), Cobalt (0.49), Aluminium (0.45) — the opportunities are overwhelmingly </w:t>
      </w:r>
      <w:r>
        <w:rPr>
          <w:b/>
        </w:rPr>
        <w:t>circular</w:t>
      </w:r>
      <w:r>
        <w:t xml:space="preserve">. Per the Vision 2035 annex, copper is a UK </w:t>
      </w:r>
      <w:r>
        <w:rPr>
          <w:b/>
        </w:rPr>
        <w:t>growth</w:t>
      </w:r>
      <w:r>
        <w:t xml:space="preserve"> mineral (not on the critical list), so this basket is read as </w:t>
      </w:r>
      <w:r>
        <w:rPr>
          <w:b/>
        </w:rPr>
        <w:t>"critical &amp; growth minerals"</w:t>
      </w:r>
      <w:r>
        <w:t>; copper's strong rank reflects industrial-resilience value rather than critical-supply scarcity.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worth roughly *ten times* finance, permitting or skills support alone (+£208m GVA, ~+600 jobs).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Critical-mineral supply security in the integrated scenario (Q2.4): recycled share and domestic share rise toward the Vision-2035 targets (dashed) while maximum single-country exposure falls.</w:t>
      </w:r>
    </w:p>
    <w:p>
      <w:r>
        <w:rPr>
          <w:b/>
        </w:rPr>
        <w:t>Beyond single-country: the IEA-2025 midstream-risk view.</w:t>
      </w:r>
      <w:r>
        <w:t xml:space="preserve"> The IEA finds the binding risk is now </w:t>
      </w:r>
      <w:r>
        <w:rPr>
          <w:b/>
        </w:rPr>
        <w:t>top-three</w:t>
      </w:r>
      <w:r>
        <w:t xml:space="preserve"> mine concentration (rose to ~86% in 2024) and </w:t>
      </w:r>
      <w:r>
        <w:rPr>
          <w:b/>
        </w:rPr>
        <w:t>refining</w:t>
      </w:r>
      <w:r>
        <w:t xml:space="preserve"> concentration (China refines 19 of 20 strategic minerals). The model adds both indices; under the export-ban shock (lower =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Single-country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Top-3 (mine)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Refining (midstream)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Strategic coordinator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0.337</w:t>
            </w:r>
          </w:p>
        </w:tc>
      </w:tr>
    </w:tbl>
    <w:p>
      <w:r>
        <w:t xml:space="preserve">The contrast is the key insight: </w:t>
      </w:r>
      <w:r>
        <w:rPr>
          <w:b/>
        </w:rPr>
        <w:t>import diversification cuts single-country and partly top-three exposure, but barely touches refining exposure</w:t>
      </w:r>
      <w:r>
        <w:t xml:space="preserve"> — which only falls when NI builds its own recovery/processing capacity (the coordinator and circular roles). The security problem is *midstream*, so the answer must include capacity, not just diversification. (Export-controlled minerals — REE, antimony, cobalt — are flagged but tiny by tonnage, so a tonnage view understates their strategic weight.)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</w:t>
      </w:r>
      <w:r>
        <w:t xml:space="preserve">, and single-country exposure alone *understates* the risk (top-three and refining are far higher).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, is the only posture that moves all three Vision-2035 indicators at once while adding GVA, and is the only one (with circular-leader) that lowers *refining* exposure.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 Against the stricter </w:t>
      </w:r>
      <w:r>
        <w:rPr>
          <w:b/>
        </w:rPr>
        <w:t>EU-CRMA stretch</w:t>
      </w:r>
      <w:r>
        <w:t xml:space="preserve"> (25% recycling, ≤65% single-country) NI needs the circular build-out to compete for the EU market under the Windsor Framework.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</w:t>
      </w:r>
      <w:r>
        <w:rPr>
          <w:b/>
        </w:rPr>
        <w:t>£37,100, ASHE 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</w:t>
      </w:r>
      <w:r>
        <w:rPr>
          <w:b/>
        </w:rPr>
        <w:t>NISRA ASHE 2025</w:t>
      </w:r>
      <w:r>
        <w:t xml:space="preserve"> wage anchor (£37,100/yr, £713/wk — up ~7% from £34,632 in 2024, which is retained as a sensitivity; the premium is a ratio so it is unchanged, the wage bill scales ~7%);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CO₂); and the </w:t>
      </w:r>
      <w:r>
        <w:rPr>
          <w:b/>
        </w:rPr>
        <w:t>NISRA NIETS 2024</w:t>
      </w:r>
      <w:r>
        <w:t xml:space="preserve"> external-trade frame (NI sales £109.3bn, exports £19.6bn, imports £11.2bn, surplus £8.4bn) to contextualise the export and avoided-import magnitudes.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 </w:t>
      </w:r>
      <w:r>
        <w:rPr>
          <w:b/>
        </w:rPr>
        <w:t>In the NISRA NIETS 2024 trade frame</w:t>
      </w:r>
      <w:r>
        <w:t>, the integrated minerals system contributes only ~0.3% of NI's £19.6bn external exports and displaces ~1.3% of its £11.2bn external imports by year 30 — small by *volume* but high in *strategic value*, protecting a far larger downstream manufacturing base from import-price and supply shocks. (NIETS sector tables are the recommended next calibration step for the proxy export shares.)</w:t>
      </w:r>
    </w:p>
    <w:p>
      <w:pPr>
        <w:pStyle w:val="Heading2"/>
      </w:pPr>
      <w:r>
        <w:t>Q2.7 — Negative impacts and how to minimise them</w:t>
      </w:r>
    </w:p>
    <w:p>
      <w:r>
        <w:rPr>
          <w:b/>
        </w:rPr>
        <w:t>(i) Experiment logic.</w:t>
      </w:r>
      <w:r>
        <w:t xml:space="preserve"> The validated CO₂/PM satellites are reported alongside relative pressure indices for Minviro Appendix-A impact groups (water, land, biodiversity, tailings/waste) and eco-efficiency (impact per £m GVA), across baseline / circular / primary / integrated / high-ESG scenarios.</w:t>
      </w:r>
    </w:p>
    <w:p>
      <w:r>
        <w:rPr>
          <w:b/>
        </w:rPr>
        <w:t>(ii) Data used.</w:t>
      </w:r>
      <w:r>
        <w:t xml:space="preserve"> Minviro Appendix A (impact groups, site-specific receptors, avoid→mitigate→closure hierarchy); Minviro CLCA (most active mining ≈ 0.36% of NI CO₂, 0.24% of PM; recycling carbon ~30% of primary); I-O CO₂/PM satellites.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Cum. disc. CO₂ (kt)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Land pressure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Biodiversity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Waste/tailings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Land per £GVA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1,592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3,813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2,979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18,178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4.84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1,974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4,024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18,882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3.95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2,234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5,959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4,696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28,908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5.97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2,487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7,338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5,781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35,568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6.37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High-ESG / low-impact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2,433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4,822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3,768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22,988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ade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Decision trade-off: jobs versus cumulative CO₂ across scenarios — the circular routes sit on a better jobs-per-emission frontier than primary extraction.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Primary mining carries the heavy, site-specific local burden</w:t>
      </w:r>
      <w:r>
        <w:t xml:space="preserve"> (land, water, biodiversity, tailings, dust/noise, closure) concentrated on the host council area. </w:t>
      </w:r>
      <w:r>
        <w:rPr>
          <w:b/>
        </w:rPr>
        <w:t>Recycling is far lower-impact per £ of value</w:t>
      </w:r>
      <w:r>
        <w:t xml:space="preserve"> (lowest land-per-£GVA; carbon ~30% of primary). </w:t>
      </w:r>
      <w:r>
        <w:rPr>
          <w:b/>
        </w:rPr>
        <w:t>High-ESG design materially mitigates</w:t>
      </w:r>
      <w:r>
        <w:t xml:space="preserve"> the local burden (~35%). National carbon is modest (~0.36% of NI CO₂); the binding impacts are *local*. The order of preference is </w:t>
      </w:r>
      <w:r>
        <w:rPr>
          <w:b/>
        </w:rPr>
        <w:t>avoid</w:t>
      </w:r>
      <w:r>
        <w:t xml:space="preserve"> (recycle/design) → </w:t>
      </w:r>
      <w:r>
        <w:rPr>
          <w:b/>
        </w:rPr>
        <w:t>mitigate</w:t>
      </w:r>
      <w:r>
        <w:t xml:space="preserve"> (high-ESG) → </w:t>
      </w:r>
      <w:r>
        <w:rPr>
          <w:b/>
        </w:rPr>
        <w:t>manage closure</w:t>
      </w:r>
      <w:r>
        <w:t xml:space="preserve"> (bonded), and any primary development needs project- and place-specific assessment.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