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Response to the Review of Mineral Licensing — Call for Evidence</w:t>
      </w:r>
    </w:p>
    <w:p>
      <w:pPr>
        <w:pStyle w:val="Heading2"/>
      </w:pPr>
      <w:r>
        <w:t>Chapter 2: Economic Opportunities</w:t>
      </w:r>
    </w:p>
    <w:p>
      <w:r>
        <w:rPr>
          <w:b/>
        </w:rPr>
        <w:t>To:</w:t>
      </w:r>
      <w:r>
        <w:t xml:space="preserve"> Minerals and Petroleum Branch, Department for the Economy, 7th Floor, Adelaide House, 39–49 Adelaide Street, Belfast BT2 8FD · mineralsreview@economy-ni.gov.uk</w:t>
      </w:r>
    </w:p>
    <w:p>
      <w:r>
        <w:rPr>
          <w:b/>
        </w:rPr>
        <w:t>Re:</w:t>
      </w:r>
      <w:r>
        <w:t xml:space="preserve"> Review of Mineral Licensing — Call for Evidence (closing 28 June 2026), </w:t>
      </w:r>
      <w:r>
        <w:rPr>
          <w:b/>
        </w:rPr>
        <w:t>Chapter 2 — Economic Opportunities</w:t>
      </w:r>
      <w:r>
        <w:t xml:space="preserve"> (questions 2.1–2.7)</w:t>
      </w:r>
    </w:p>
    <w:p>
      <w:r>
        <w:rPr>
          <w:b/>
        </w:rPr>
        <w:t>Respondent:</w:t>
      </w:r>
      <w:r>
        <w:t xml:space="preserve"> [Name] · [Organisation] · [Contact]</w:t>
      </w:r>
    </w:p>
    <w:p>
      <w:pPr>
        <w:pStyle w:val="Heading2"/>
      </w:pPr>
      <w:r>
        <w:t>About this response</w:t>
      </w:r>
    </w:p>
    <w:p>
      <w:r>
        <w:t xml:space="preserve">This submission provides </w:t>
      </w:r>
      <w:r>
        <w:rPr>
          <w:b/>
        </w:rPr>
        <w:t>evidence from an integrated model of the Northern Ireland minerals system</w:t>
      </w:r>
      <w:r>
        <w:t xml:space="preserve"> built specifically to inform this review. The model couples four standard tools on an annual, 30-year horizon (2026–2055, discounted at the HM Treasury / NIGEAE 3.5% Social Time Preference Rate):</w:t>
      </w:r>
    </w:p>
    <w:p>
      <w:pPr>
        <w:pStyle w:val="ListBullet"/>
      </w:pPr>
      <w:r>
        <w:t xml:space="preserve">a </w:t>
      </w:r>
      <w:r>
        <w:rPr>
          <w:b/>
        </w:rPr>
        <w:t>firm-grounded agent-based model</w:t>
      </w:r>
      <w:r>
        <w:t xml:space="preserve"> whose agents are 21 named NI operators (Ionic Technologies, Dalradian, Wrightbus, Seagate, Re-Gen, CDE/Terex, …);</w:t>
      </w:r>
    </w:p>
    <w:p>
      <w:pPr>
        <w:pStyle w:val="ListBullet"/>
      </w:pPr>
      <w:r>
        <w:t xml:space="preserve">a </w:t>
      </w:r>
      <w:r>
        <w:rPr>
          <w:b/>
        </w:rPr>
        <w:t>material-flow account</w:t>
      </w:r>
      <w:r>
        <w:t xml:space="preserve"> (physical mass balance for 10 minerals, with supply-security and concentration-risk metrics);</w:t>
      </w:r>
    </w:p>
    <w:p>
      <w:pPr>
        <w:pStyle w:val="ListBullet"/>
      </w:pPr>
      <w:r>
        <w:t xml:space="preserve">a </w:t>
      </w:r>
      <w:r>
        <w:rPr>
          <w:b/>
        </w:rPr>
        <w:t>dynamic input–output model</w:t>
      </w:r>
      <w:r>
        <w:t xml:space="preserve"> (GVA, jobs, CO₂ on Type I/II multipliers, calibrated to the Minviro anchors); and</w:t>
      </w:r>
    </w:p>
    <w:p>
      <w:pPr>
        <w:pStyle w:val="ListBullet"/>
      </w:pPr>
      <w:r>
        <w:t xml:space="preserve">a compact </w:t>
      </w:r>
      <w:r>
        <w:rPr>
          <w:b/>
        </w:rPr>
        <w:t>computable general equilibrium</w:t>
      </w:r>
      <w:r>
        <w:t xml:space="preserve"> model on a constructed NI Social Accounting Matrix.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32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supply_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2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The NI minerals supply chain and its key players. The single most important structural fact is the midstream bottleneck: strong upstream extraction and very strong downstream manufacturing demand, but only one critical-mineral processing/recovery asset (Ionic Technologies).</w:t>
      </w:r>
    </w:p>
    <w:p>
      <w:r>
        <w:rPr>
          <w:b/>
        </w:rPr>
        <w:t>Status and honesty of the evidence.</w:t>
      </w:r>
      <w:r>
        <w:t xml:space="preserve"> The model is </w:t>
      </w:r>
      <w:r>
        <w:rPr>
          <w:b/>
        </w:rPr>
        <w:t>validated against the Minviro (2022) scenario anchors</w:t>
      </w:r>
      <w:r>
        <w:t xml:space="preserve"> (it reproduces the one-mine 73 jobs / £7.3m and two-mine 430 jobs / £43m results) and passes a 61-check verification harness on every change. It is a </w:t>
      </w:r>
      <w:r>
        <w:rPr>
          <w:b/>
        </w:rPr>
        <w:t>policy-scenario simulator, not a forecast</w:t>
      </w:r>
      <w:r>
        <w:t xml:space="preserve">: control totals and targets are real and sourced, but most economic-structure and behavioural coefficients are </w:t>
      </w:r>
      <w:r>
        <w:rPr>
          <w:b/>
        </w:rPr>
        <w:t>proxy</w:t>
      </w:r>
      <w:r>
        <w:t xml:space="preserve"> values (fully documented with provenance). The robust content is therefore the </w:t>
      </w:r>
      <w:r>
        <w:rPr>
          <w:b/>
        </w:rPr>
        <w:t>direction, ranking and relative magnitude</w:t>
      </w:r>
      <w:r>
        <w:t xml:space="preserve"> of the findings, not precise point predictions. Full method, equations, data and assumptions are in the accompanying technical report.</w:t>
      </w:r>
    </w:p>
    <w:p>
      <w:r>
        <w:rPr>
          <w:b/>
        </w:rPr>
        <w:t>Headline position.</w:t>
      </w:r>
      <w:r>
        <w:t xml:space="preserve"> Northern Ireland's strongest minerals opportunity is </w:t>
      </w:r>
      <w:r>
        <w:rPr>
          <w:b/>
        </w:rPr>
        <w:t>circular</w:t>
      </w:r>
      <w:r>
        <w:t xml:space="preserve"> — recovering and processing critical minerals from end-of-life products — paired with </w:t>
      </w:r>
      <w:r>
        <w:rPr>
          <w:b/>
        </w:rPr>
        <w:t>responsibly-conditioned</w:t>
      </w:r>
      <w:r>
        <w:t xml:space="preserve"> primary extraction where the evidence and community acceptance support it. NI is *demand-rich but capacity-poor*: it has world-class research (QUB), a real rare-earth recycling firm (Ionic, Belfast), strong downstream manufacturers and a named place in UK strategy, but only </w:t>
      </w:r>
      <w:r>
        <w:rPr>
          <w:b/>
        </w:rPr>
        <w:t>one</w:t>
      </w:r>
      <w:r>
        <w:t xml:space="preserve"> midstream processing asset. The single highest-leverage action is to </w:t>
      </w:r>
      <w:r>
        <w:rPr>
          <w:b/>
        </w:rPr>
        <w:t>build midstream processing/recovery capacity and fix feedstock collection</w:t>
      </w:r>
      <w:r>
        <w:t>.</w:t>
      </w:r>
    </w:p>
    <w:p>
      <w:pPr>
        <w:pStyle w:val="Heading2"/>
      </w:pPr>
      <w:r>
        <w:t>2.1 — How can the Department support innovation that will support circularity, in particular materials recovery, secondary materials markets, recycling and circular design in manufacturing?</w:t>
      </w:r>
    </w:p>
    <w:p>
      <w:r>
        <w:rPr>
          <w:b/>
        </w:rPr>
        <w:t>Evidence.</w:t>
      </w:r>
      <w:r>
        <w:t xml:space="preserve"> We tested seven concrete interventions (each mapped to real instruments) individually and as a package over 30 years, ranking them on recycled-share lift, recycling GVA/jobs and value-for-money (discounted GVA per £ of public cost, with a cost-uncertainty band):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Intervention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Δ critical-mineral recycled share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Δ discounted GVA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Value-for-money (GVA per £)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Smart collection / deposit-return / WEEE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+6.3 pp</w:t>
            </w:r>
            <w:r>
              <w:rPr>
                <w:sz w:val="16"/>
              </w:rPr>
              <w:t xml:space="preserve"> (reaches the 20% target)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+£245m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1.26× (band 0.57–2.30)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Ecodesign / design-for-disassembly standards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+2.3 pp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+£93m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2.21× (best value)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Recovery-plant capital grant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+£0.5m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Secondary-market offtake + recycled-content procurement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~0 (design uptake ↑)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+£0.6m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Circular-innovation R&amp;D fund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+£0.5m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Green-skills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~0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6"/>
              </w:rPr>
              <w:t>Integrated package (all together)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+6.3 pp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+£246m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0.56×</w:t>
            </w:r>
          </w:p>
        </w:tc>
      </w:tr>
    </w:tbl>
    <w:p>
      <w:r>
        <w:rPr>
          <w:b/>
        </w:rPr>
        <w:t>Findings.</w:t>
      </w:r>
      <w:r>
        <w:t xml:space="preserve"> (i) </w:t>
      </w:r>
      <w:r>
        <w:rPr>
          <w:b/>
        </w:rPr>
        <w:t>Collection is the binding constraint, not processing machinery</w:t>
      </w:r>
      <w:r>
        <w:t xml:space="preserve"> — a smart collection / deposit-return scheme is the *only single lever* that reaches the Vision-2035 20%-recycling target; subsidising recovery *plant* alone moves almost nothing because NI's immediate gap is feedstock. (ii) </w:t>
      </w:r>
      <w:r>
        <w:rPr>
          <w:b/>
        </w:rPr>
        <w:t>Ecodesign standards are the best value for money</w:t>
      </w:r>
      <w:r>
        <w:t xml:space="preserve"> (~2.2× return, robust across the whole cost band, because they are largely regulatory). (iii) The </w:t>
      </w:r>
      <w:r>
        <w:rPr>
          <w:b/>
        </w:rPr>
        <w:t>mix beats any single lever</w:t>
      </w:r>
      <w:r>
        <w:t xml:space="preserve">. Against the stricter </w:t>
      </w:r>
      <w:r>
        <w:rPr>
          <w:b/>
        </w:rPr>
        <w:t>EU-CRMA 25% recycling benchmark</w:t>
      </w:r>
      <w:r>
        <w:t xml:space="preserve"> (relevant to NI's potential EU-market access under the Windsor Framework) no single lever qualifies — the EU stretch requires the full circular build-out. (iv) As demand scales, </w:t>
      </w:r>
      <w:r>
        <w:rPr>
          <w:b/>
        </w:rPr>
        <w:t>processing/recovery capacity becomes the binding midstream gap</w:t>
      </w:r>
      <w:r>
        <w:t xml:space="preserve"> (there is currently no NI lithium, cobalt, nickel, copper or aluminium processing capacity).</w:t>
      </w:r>
    </w:p>
    <w:p>
      <w:r>
        <w:rPr>
          <w:b/>
        </w:rPr>
        <w:t>Recommendation.</w:t>
      </w:r>
      <w:r>
        <w:t xml:space="preserve"> Sequence support: </w:t>
      </w:r>
      <w:r>
        <w:rPr>
          <w:b/>
        </w:rPr>
        <w:t>now</w:t>
      </w:r>
      <w:r>
        <w:t xml:space="preserve"> — recycled-content public procurement + design-for-disassembly standards + digital product passports (cheap, high return); </w:t>
      </w:r>
      <w:r>
        <w:rPr>
          <w:b/>
        </w:rPr>
        <w:t>then</w:t>
      </w:r>
      <w:r>
        <w:t xml:space="preserve"> — a circular-innovation fund (R&amp;D with Ionic/QUB) and a collection/deposit-return scheme to unblock feedstock; </w:t>
      </w:r>
      <w:r>
        <w:rPr>
          <w:b/>
        </w:rPr>
        <w:t>then scale</w:t>
      </w:r>
      <w:r>
        <w:t xml:space="preserve"> — first-of-a-kind processing/recovery capacity for battery metals.</w:t>
      </w:r>
    </w:p>
    <w:p>
      <w:pPr>
        <w:pStyle w:val="Heading2"/>
      </w:pPr>
      <w:r>
        <w:t>2.2 — What are the key opportunities and challenges for sustainable minerals development?</w:t>
      </w:r>
    </w:p>
    <w:p>
      <w:r>
        <w:rPr>
          <w:b/>
        </w:rPr>
        <w:t>Evidence.</w:t>
      </w:r>
      <w:r>
        <w:t xml:space="preserve"> A mineral-by-mineral opportunity ranking, plus constraint-relaxation scenarios that relax one barrier at a time to reveal the *binding* constraint.</w:t>
      </w:r>
    </w:p>
    <w:p>
      <w:r>
        <w:t xml:space="preserve">The strongest opportunities are </w:t>
      </w:r>
      <w:r>
        <w:rPr>
          <w:b/>
        </w:rPr>
        <w:t>circular</w:t>
      </w:r>
      <w:r>
        <w:t xml:space="preserve"> (recovery of rare-earth magnets, lithium, cobalt, copper), reflecting high import dependence to displace and NI's named recycling capability. </w:t>
      </w:r>
      <w:r>
        <w:rPr>
          <w:b/>
        </w:rPr>
        <w:t>Copper ranks second but is a UK *growth* mineral, not a critical mineral</w:t>
      </w:r>
      <w:r>
        <w:t xml:space="preserve"> (Vision 2035 Technical Annex) — it is reported separately so the *critical*-mineral position is not overstated. Northern Ireland is also the </w:t>
      </w:r>
      <w:r>
        <w:rPr>
          <w:b/>
        </w:rPr>
        <w:t>most prospective part of the UK/Ireland for precious metals</w:t>
      </w:r>
      <w:r>
        <w:t xml:space="preserve"> (the Curraghinalt deposit: 3.79 Moz gold plus copper, antimony, tellurium and cobalt).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Constraint relaxed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Mines opened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Δ discounted GVA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Project unlocked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Faster permitting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£0m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Finance (NWF/UKEF)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+£2m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Baryte (geological-potential)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Skills availability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£0m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Competitive energy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£0m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6"/>
              </w:rPr>
              <w:t>Community benefit / social licence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+£208m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Dalradian (Curraghinalt)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All enablers together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+£226m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Dalradian + Baryte</w:t>
            </w:r>
          </w:p>
        </w:tc>
      </w:tr>
    </w:tbl>
    <w:p>
      <w:r>
        <w:rPr>
          <w:b/>
        </w:rPr>
        <w:t>Finding.</w:t>
      </w:r>
      <w:r>
        <w:t xml:space="preserve"> The </w:t>
      </w:r>
      <w:r>
        <w:rPr>
          <w:b/>
        </w:rPr>
        <w:t>binding challenge is social licence, not economics</w:t>
      </w:r>
      <w:r>
        <w:t xml:space="preserve">: NI's best deposit clears the commercial hurdle but is blocked by community opposition, and a credible community-benefit package is the *only* lever that brings it forward — worth roughly </w:t>
      </w:r>
      <w:r>
        <w:rPr>
          <w:b/>
        </w:rPr>
        <w:t>ten times</w:t>
      </w:r>
      <w:r>
        <w:t xml:space="preserve"> finance, permitting or skills support on their own. Critical-mineral security is therefore mainly a </w:t>
      </w:r>
      <w:r>
        <w:rPr>
          <w:b/>
        </w:rPr>
        <w:t>recycling/feedstock</w:t>
      </w:r>
      <w:r>
        <w:t xml:space="preserve"> story (little domestic critical-mineral geology), while bulk minerals are the low-friction near-term opportunity.</w:t>
      </w:r>
    </w:p>
    <w:p>
      <w:r>
        <w:rPr>
          <w:b/>
        </w:rPr>
        <w:t>Recommendation.</w:t>
      </w:r>
      <w:r>
        <w:t xml:space="preserve"> Treat </w:t>
      </w:r>
      <w:r>
        <w:rPr>
          <w:b/>
        </w:rPr>
        <w:t>community benefit and high-ESG conditions as the central enabler</w:t>
      </w:r>
      <w:r>
        <w:t xml:space="preserve"> of any contested primary development; pursue critical minerals primarily through </w:t>
      </w:r>
      <w:r>
        <w:rPr>
          <w:b/>
        </w:rPr>
        <w:t>midstream + recycling</w:t>
      </w:r>
      <w:r>
        <w:t>.</w:t>
      </w:r>
    </w:p>
    <w:p>
      <w:pPr>
        <w:pStyle w:val="Heading2"/>
      </w:pPr>
      <w:r>
        <w:t>2.3 — What support is needed for businesses to participate in the minerals supply chain?</w:t>
      </w:r>
    </w:p>
    <w:p>
      <w:r>
        <w:rPr>
          <w:b/>
        </w:rPr>
        <w:t>Evidence.</w:t>
      </w:r>
      <w:r>
        <w:t xml:space="preserve"> We modelled a </w:t>
      </w:r>
      <w:r>
        <w:rPr>
          <w:b/>
        </w:rPr>
        <w:t>dominant-supplier loss</w:t>
      </w:r>
      <w:r>
        <w:t xml:space="preserve"> (per-mineral import caps set to the 2023 single-country concentration — China 74% rare earths, DRC 70% cobalt, Australia 44% lithium) plus a price spike, and read outcomes by supply-chain stage.</w:t>
      </w:r>
    </w:p>
    <w:p>
      <w:r>
        <w:t xml:space="preserve">The shock opens a </w:t>
      </w:r>
      <w:r>
        <w:rPr>
          <w:b/>
        </w:rPr>
        <w:t>critical-mineral supply gap of ~20%</w:t>
      </w:r>
      <w:r>
        <w:t xml:space="preserve"> that </w:t>
      </w:r>
      <w:r>
        <w:rPr>
          <w:b/>
        </w:rPr>
        <w:t>lands on downstream manufacturers</w:t>
      </w:r>
      <w:r>
        <w:t xml:space="preserve"> as cost and insecurity, while being an *opportunity* for upstream/midstream firms — *if* they have the capacity to respond. Support must therefore be </w:t>
      </w:r>
      <w:r>
        <w:rPr>
          <w:b/>
        </w:rPr>
        <w:t>stage-specific and sequenced</w:t>
      </w:r>
      <w:r>
        <w:t>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Binding challenge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Support needed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Upstream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Finance, social licence, ~20-yr lead time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NWF/UKEF co-investment, faster permitting, community benefit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Midstream (processing/recovery)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The pilot-to-commercial </w:t>
            </w:r>
            <w:r>
              <w:rPr>
                <w:b/>
                <w:sz w:val="16"/>
              </w:rPr>
              <w:t>"valley of death"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First-of-a-kind capital with cost-share + blended finance; long-term offtake with a price floor</w:t>
            </w:r>
            <w:r>
              <w:rPr>
                <w:sz w:val="16"/>
              </w:rPr>
              <w:t>; energy-cost relief; collection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Downstream (manufacturers)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Input-cost/availability, secondary-material access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Recycled-content procurement, supplier development — *only after* midstream capacity exists</w:t>
            </w:r>
          </w:p>
        </w:tc>
      </w:tr>
    </w:tbl>
    <w:p>
      <w:r>
        <w:rPr>
          <w:b/>
        </w:rPr>
        <w:t>Findings.</w:t>
      </w:r>
      <w:r>
        <w:t xml:space="preserve"> </w:t>
      </w:r>
      <w:r>
        <w:rPr>
          <w:b/>
        </w:rPr>
        <w:t>Downstream support alone barely moves the dial</w:t>
      </w:r>
      <w:r>
        <w:t xml:space="preserve"> under the shock (manufacturers cannot buy recycled content that does not yet exist), so it must follow midstream investment. A </w:t>
      </w:r>
      <w:r>
        <w:rPr>
          <w:b/>
        </w:rPr>
        <w:t>strategic stockpile is a thin bridge, not a fix</w:t>
      </w:r>
      <w:r>
        <w:t xml:space="preserve"> — sized to real practice (~180 days) it trims only the first ~1–2 years and then depletes. Full cross-chain support cuts the supply gap to ~11% and adds ~+970 jobs versus the unsupported shock.</w:t>
      </w:r>
    </w:p>
    <w:p>
      <w:r>
        <w:rPr>
          <w:b/>
        </w:rPr>
        <w:t>Recommendation.</w:t>
      </w:r>
      <w:r>
        <w:t xml:space="preserve"> Prioritise </w:t>
      </w:r>
      <w:r>
        <w:rPr>
          <w:b/>
        </w:rPr>
        <w:t>midstream scale-up finance</w:t>
      </w:r>
      <w:r>
        <w:t xml:space="preserve"> (FOAK cost-share + offtake/price-floor, as in the US DoD–MP Materials model), structured as *recurring* institutions rather than one-off grants; offer a single </w:t>
      </w:r>
      <w:r>
        <w:rPr>
          <w:b/>
        </w:rPr>
        <w:t>"strategic project" front door</w:t>
      </w:r>
      <w:r>
        <w:t xml:space="preserve"> (NI could access EU CRMA fast-permitting *and* the UK NWF/UKEF offer under the Windsor Framework).</w:t>
      </w:r>
    </w:p>
    <w:p>
      <w:pPr>
        <w:pStyle w:val="Heading2"/>
      </w:pPr>
      <w:r>
        <w:t>2.4 — What role should we have in ensuring a secure supply of minerals?</w:t>
      </w:r>
    </w:p>
    <w:p>
      <w:r>
        <w:rPr>
          <w:b/>
        </w:rPr>
        <w:t>Evidence.</w:t>
      </w:r>
      <w:r>
        <w:t xml:space="preserve"> Five government postures were tested against an escalating dominant-supplier export ban *and* a Monte-Carlo of 120 uncertain shocks. Resilience (lower = safer) under uncertainty: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Government posture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90th-percentile supply gap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Public cost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Market / light-touch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0.144 (worst tail risk)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£0m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Diversify &amp; insure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£122m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Domestic autonomy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0.120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£121m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Circular leader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0.098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£354m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Strategic coordinator (balanced)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0.079 (most robust)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£516m</w:t>
            </w:r>
          </w:p>
        </w:tc>
      </w:tr>
    </w:tbl>
    <w:p>
      <w:r>
        <w:t xml:space="preserve">We also report the </w:t>
      </w:r>
      <w:r>
        <w:rPr>
          <w:b/>
        </w:rPr>
        <w:t>IEA-2025 midstream-risk view</w:t>
      </w:r>
      <w:r>
        <w:t xml:space="preserve">: top-three producer concentration reached ~86% in 2024 and China refines 19 of 20 strategic minerals — so beside single-country exposure we track </w:t>
      </w:r>
      <w:r>
        <w:rPr>
          <w:b/>
        </w:rPr>
        <w:t>top-three</w:t>
      </w:r>
      <w:r>
        <w:t xml:space="preserve"> and </w:t>
      </w:r>
      <w:r>
        <w:rPr>
          <w:b/>
        </w:rPr>
        <w:t>refining</w:t>
      </w:r>
      <w:r>
        <w:t xml:space="preserve"> exposure. Diversifying imports cuts single-country and partly top-three exposure but </w:t>
      </w:r>
      <w:r>
        <w:rPr>
          <w:b/>
        </w:rPr>
        <w:t>does not cut refining dependence</w:t>
      </w:r>
      <w:r>
        <w:t xml:space="preserve"> — that falls only when NI builds its own recovery/processing capacity.</w:t>
      </w:r>
    </w:p>
    <w:p>
      <w:r>
        <w:rPr>
          <w:b/>
        </w:rPr>
        <w:t>Finding.</w:t>
      </w:r>
      <w:r>
        <w:t xml:space="preserve"> </w:t>
      </w:r>
      <w:r>
        <w:rPr>
          <w:b/>
        </w:rPr>
        <w:t>Light-touch fails the security test</w:t>
      </w:r>
      <w:r>
        <w:t xml:space="preserve"> (security is a public good the market under-provides; the IEA confirms critical minerals are *concentrating*, not diversifying). A balanced </w:t>
      </w:r>
      <w:r>
        <w:rPr>
          <w:b/>
        </w:rPr>
        <w:t>strategic-coordinator</w:t>
      </w:r>
      <w:r>
        <w:t xml:space="preserve"> role is the most robust — it roughly </w:t>
      </w:r>
      <w:r>
        <w:rPr>
          <w:b/>
        </w:rPr>
        <w:t>halves the 90th-percentile gap</w:t>
      </w:r>
      <w:r>
        <w:t xml:space="preserve"> versus light-touch and is the only posture that improves all three Vision-2035 indicators while adding GVA. It should be read as the </w:t>
      </w:r>
      <w:r>
        <w:rPr>
          <w:b/>
        </w:rPr>
        <w:t>closest/most-robust</w:t>
      </w:r>
      <w:r>
        <w:t xml:space="preserve"> portfolio, *not* a claim that every Vision-2035 target is met in every state (stable single-country exposure sits just above 60%, domestic share below 10%, some recycled results just under 20%).</w:t>
      </w:r>
    </w:p>
    <w:p>
      <w:r>
        <w:rPr>
          <w:b/>
        </w:rPr>
        <w:t>Recommendation.</w:t>
      </w:r>
      <w:r>
        <w:t xml:space="preserve"> Adopt an active </w:t>
      </w:r>
      <w:r>
        <w:rPr>
          <w:b/>
        </w:rPr>
        <w:t>coordinator/insurer</w:t>
      </w:r>
      <w:r>
        <w:t xml:space="preserve"> role: set targets; de-risk midstream capacity (finance + offtake); fix feedstock collection; diversify imports and hold a thin strategic reserve; and uphold high-ESG/community-benefit terms — the posture Japan used to cut its Chinese rare-earth dependence from ~90% to ~58%.</w:t>
      </w:r>
    </w:p>
    <w:p>
      <w:pPr>
        <w:pStyle w:val="Heading2"/>
      </w:pPr>
      <w:r>
        <w:t>2.5 — How can the sector contribute to local employment, skills development, and regional growth?</w:t>
      </w:r>
    </w:p>
    <w:p>
      <w:r>
        <w:rPr>
          <w:b/>
        </w:rPr>
        <w:t>Evidence.</w:t>
      </w:r>
      <w:r>
        <w:t xml:space="preserve"> Jobs are split by skill and wage band on the real NISRA ASHE 2025 anchor (NI median full-time £37,100/yr), with retained-local-employment and a skilled-training requirement, across policy scenarios.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End-year jobs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Wage premium vs NI median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Local retention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1,148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+11%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70%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1,513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+9%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80%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Integrated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2,010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+17%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86%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6"/>
              </w:rPr>
              <w:t>Local-content + skills focus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1,393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+9%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97%</w:t>
            </w:r>
          </w:p>
        </w:tc>
      </w:tr>
    </w:tbl>
    <w:p>
      <w:r>
        <w:rPr>
          <w:b/>
        </w:rPr>
        <w:t>Findings.</w:t>
      </w:r>
      <w:r>
        <w:t xml:space="preserve"> The sector offers </w:t>
      </w:r>
      <w:r>
        <w:rPr>
          <w:b/>
        </w:rPr>
        <w:t>quality jobs above the NI average</w:t>
      </w:r>
      <w:r>
        <w:t xml:space="preserve">, </w:t>
      </w:r>
      <w:r>
        <w:rPr>
          <w:b/>
        </w:rPr>
        <w:t>rural-weighted</w:t>
      </w:r>
      <w:r>
        <w:t xml:space="preserve"> regional growth (Belfast plus the west and Mid Ulster, where the named firms sit), and — crucially — </w:t>
      </w:r>
      <w:r>
        <w:rPr>
          <w:b/>
        </w:rPr>
        <w:t>local retention is a policy choice</w:t>
      </w:r>
      <w:r>
        <w:t xml:space="preserve">: it rises from ~70% to ~97% under a local-content + skills focus, directly countering the leakage Minviro warns of (the Galmoy/Lisheen precedent, where imported specialist firms limited local employment). </w:t>
      </w:r>
      <w:r>
        <w:rPr>
          <w:b/>
        </w:rPr>
        <w:t>Skills are the binding enabler</w:t>
      </w:r>
      <w:r>
        <w:t xml:space="preserve"> (against ~7,500 NI skill-shortage vacancies).</w:t>
      </w:r>
    </w:p>
    <w:p>
      <w:r>
        <w:rPr>
          <w:b/>
        </w:rPr>
        <w:t>Recommendation.</w:t>
      </w:r>
      <w:r>
        <w:t xml:space="preserve"> </w:t>
      </w:r>
      <w:r>
        <w:rPr>
          <w:b/>
        </w:rPr>
        <w:t>Tie public support to local-content and skills commitments</w:t>
      </w:r>
      <w:r>
        <w:t>, and build a green-skills / critical-minerals pipeline (FE colleges, QUB, apprenticeships) now — it is the gating constraint on capturing the jobs.</w:t>
      </w:r>
    </w:p>
    <w:p>
      <w:pPr>
        <w:pStyle w:val="Heading2"/>
      </w:pPr>
      <w:r>
        <w:t>2.6 — What are the potential economic benefits of mineral development?</w:t>
      </w:r>
    </w:p>
    <w:p>
      <w:r>
        <w:rPr>
          <w:b/>
        </w:rPr>
        <w:t>Evidence.</w:t>
      </w:r>
      <w:r>
        <w:t xml:space="preserve"> The coupled model's Type-II GVA/jobs are extended with the full Minviro benefit suite — tax, exports, the named-firm investment pipeline, productivity and </w:t>
      </w:r>
      <w:r>
        <w:rPr>
          <w:b/>
        </w:rPr>
        <w:t>avoided import costs</w:t>
      </w:r>
      <w:r>
        <w:t xml:space="preserve"> (the import bill met by domestic + recycled supply):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Discounted GVA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Avoided imports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Exports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Value-for-money (GVA-only → with resilience)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£1,019m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£1,567m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£255m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£842m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0.79× → 2.00×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Primary extraction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£790m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£1,218m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£198m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£632m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0.02× → 0.04×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Integrated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£1,153m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£1,789m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£288m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£874m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 xml:space="preserve">0.86× → </w:t>
            </w:r>
            <w:r>
              <w:rPr>
                <w:b/>
                <w:sz w:val="16"/>
              </w:rPr>
              <w:t>2.21×</w:t>
            </w:r>
          </w:p>
        </w:tc>
      </w:tr>
    </w:tbl>
    <w:p>
      <w:r>
        <w:rPr>
          <w:b/>
        </w:rPr>
        <w:t>Findings.</w:t>
      </w:r>
      <w:r>
        <w:t xml:space="preserve"> The benefits are </w:t>
      </w:r>
      <w:r>
        <w:rPr>
          <w:b/>
        </w:rPr>
        <w:t>substantial and broad</w:t>
      </w:r>
      <w:r>
        <w:t xml:space="preserve"> — the integrated scenario delivers ~£1.15bn discounted GVA, ~£1.8bn of avoided imports, ~£0.3bn tax and ~£0.9bn exports over 30 years, on top of a £1,164m named-firm investment pipeline. The </w:t>
      </w:r>
      <w:r>
        <w:rPr>
          <w:b/>
        </w:rPr>
        <w:t>value-for-money is honest</w:t>
      </w:r>
      <w:r>
        <w:t xml:space="preserve">: on incremental GVA alone the capital-heavy scenarios return below £1, but once </w:t>
      </w:r>
      <w:r>
        <w:rPr>
          <w:b/>
        </w:rPr>
        <w:t>avoided imports / resilience</w:t>
      </w:r>
      <w:r>
        <w:t xml:space="preserve"> are counted the return rises to ~2×. </w:t>
      </w:r>
      <w:r>
        <w:rPr>
          <w:b/>
        </w:rPr>
        <w:t>Pure extraction support is the weakest</w:t>
      </w:r>
      <w:r>
        <w:t xml:space="preserve"> (little opens without social licence). In the NISRA NIETS 2024 trade frame the minerals system is small by *volume* (~0.3% of NI external exports) but high in *strategic value*, protecting a far larger downstream manufacturing base.</w:t>
      </w:r>
    </w:p>
    <w:p>
      <w:r>
        <w:rPr>
          <w:b/>
        </w:rPr>
        <w:t>Recommendation.</w:t>
      </w:r>
      <w:r>
        <w:t xml:space="preserve"> Make the economic case as a </w:t>
      </w:r>
      <w:r>
        <w:rPr>
          <w:b/>
        </w:rPr>
        <w:t>portfolio</w:t>
      </w:r>
      <w:r>
        <w:t xml:space="preserve"> (circular + responsible primary + local content), counting </w:t>
      </w:r>
      <w:r>
        <w:rPr>
          <w:b/>
        </w:rPr>
        <w:t>resilience and avoided imports</w:t>
      </w:r>
      <w:r>
        <w:t xml:space="preserve"> alongside GVA; do not fund extraction support in isolation.</w:t>
      </w:r>
    </w:p>
    <w:p>
      <w:pPr>
        <w:pStyle w:val="Heading2"/>
      </w:pPr>
      <w:r>
        <w:t>2.7 — What are the potential economic negative impacts of mineral development?</w:t>
      </w:r>
    </w:p>
    <w:p>
      <w:r>
        <w:rPr>
          <w:b/>
        </w:rPr>
        <w:t>Evidence.</w:t>
      </w:r>
      <w:r>
        <w:t xml:space="preserve"> We quantify five </w:t>
      </w:r>
      <w:r>
        <w:rPr>
          <w:b/>
        </w:rPr>
        <w:t>economic</w:t>
      </w:r>
      <w:r>
        <w:t xml:space="preserve"> downsides of (primarily) primary extraction, each grounded in the Minviro report, and the policy levers that mitigate them: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Economic negatives (leakage + closure liability + displacement)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% of GVA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Stranded capital at risk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Net local GVA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£162m (leakage only)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17%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£0m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£780m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Primary extraction (lightly managed)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£359m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36%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£125m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£639m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Integrated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£225m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20%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£73m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£928m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Responsible, managed primary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£128m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11%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£70m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£1,016m</w:t>
            </w:r>
          </w:p>
        </w:tc>
      </w:tr>
    </w:tbl>
    <w:p>
      <w:r>
        <w:t xml:space="preserve">The five economic negatives are: </w:t>
      </w:r>
      <w:r>
        <w:rPr>
          <w:b/>
        </w:rPr>
        <w:t>benefit leakage</w:t>
      </w:r>
      <w:r>
        <w:t xml:space="preserve"> (GVA/jobs leaving NI via imported specialist labour/equipment), a </w:t>
      </w:r>
      <w:r>
        <w:rPr>
          <w:b/>
        </w:rPr>
        <w:t>closure cliff + remediation liability</w:t>
      </w:r>
      <w:r>
        <w:t xml:space="preserve"> (a mine's GVA/jobs end at closure; remediation is a public cost if unbonded), </w:t>
      </w:r>
      <w:r>
        <w:rPr>
          <w:b/>
        </w:rPr>
        <w:t>agriculture and tourism displacement</w:t>
      </w:r>
      <w:r>
        <w:t xml:space="preserve"> in the host area, </w:t>
      </w:r>
      <w:r>
        <w:rPr>
          <w:b/>
        </w:rPr>
        <w:t>boom-bust</w:t>
      </w:r>
      <w:r>
        <w:t xml:space="preserve"> price-volatility exposure, and </w:t>
      </w:r>
      <w:r>
        <w:rPr>
          <w:b/>
        </w:rPr>
        <w:t>stranded/sunk capital</w:t>
      </w:r>
      <w:r>
        <w:t xml:space="preserve"> on contested long-lead projects (e.g. Curraghinalt's ~£250m, ~21-year inquiry).</w:t>
      </w:r>
    </w:p>
    <w:p>
      <w:r>
        <w:rPr>
          <w:b/>
        </w:rPr>
        <w:t>Finding.</w:t>
      </w:r>
      <w:r>
        <w:t xml:space="preserve"> Lightly-managed primary extraction carries economic negatives worth </w:t>
      </w:r>
      <w:r>
        <w:rPr>
          <w:b/>
        </w:rPr>
        <w:t>~36% of its GVA</w:t>
      </w:r>
      <w:r>
        <w:t xml:space="preserve">, and its </w:t>
      </w:r>
      <w:r>
        <w:rPr>
          <w:b/>
        </w:rPr>
        <w:t>net local GVA (£639m) can fall *below* the baseline (£653m)</w:t>
      </w:r>
      <w:r>
        <w:t xml:space="preserve"> — extraction done badly can leave NI worse off. </w:t>
      </w:r>
      <w:r>
        <w:rPr>
          <w:b/>
        </w:rPr>
        <w:t>Circular activity avoids almost all of it</w:t>
      </w:r>
      <w:r>
        <w:t xml:space="preserve">; </w:t>
      </w:r>
      <w:r>
        <w:rPr>
          <w:b/>
        </w:rPr>
        <w:t>responsible, managed development cuts the negatives by ~64%</w:t>
      </w:r>
      <w:r>
        <w:t xml:space="preserve"> and yields the highest net local GVA. *(Environmental impacts — carbon, air, land, water, biodiversity — are a separate matter; the model tracks carbon/air satellites but this answer addresses the* economic *negatives as the question asks.)*</w:t>
      </w:r>
    </w:p>
    <w:p>
      <w:r>
        <w:rPr>
          <w:b/>
        </w:rPr>
        <w:t>Recommendation.</w:t>
      </w:r>
      <w:r>
        <w:t xml:space="preserve"> Minimise the economic downside by: requiring </w:t>
      </w:r>
      <w:r>
        <w:rPr>
          <w:b/>
        </w:rPr>
        <w:t>local content + skills</w:t>
      </w:r>
      <w:r>
        <w:t xml:space="preserve"> (cut leakage), </w:t>
      </w:r>
      <w:r>
        <w:rPr>
          <w:b/>
        </w:rPr>
        <w:t>bonded mine-closure and progressive rehabilitation</w:t>
      </w:r>
      <w:r>
        <w:t xml:space="preserve"> (remove the public liability and shorten displacement), </w:t>
      </w:r>
      <w:r>
        <w:rPr>
          <w:b/>
        </w:rPr>
        <w:t>offtake/price-floor and diversification</w:t>
      </w:r>
      <w:r>
        <w:t xml:space="preserve"> (damp boom-bust), and </w:t>
      </w:r>
      <w:r>
        <w:rPr>
          <w:b/>
        </w:rPr>
        <w:t>pairing any contested project with circular capacity</w:t>
      </w:r>
      <w:r>
        <w:t xml:space="preserve"> as a hedge against stranded capital.</w:t>
      </w:r>
    </w:p>
    <w:p>
      <w:pPr>
        <w:pStyle w:val="Heading2"/>
      </w:pPr>
      <w:r>
        <w:t>Summary of recommendations to the Department</w:t>
      </w:r>
    </w:p>
    <w:p>
      <w:pPr>
        <w:pStyle w:val="ListNumber"/>
      </w:pPr>
      <w:r>
        <w:rPr>
          <w:b/>
        </w:rPr>
        <w:t>Build the midstream.</w:t>
      </w:r>
      <w:r>
        <w:t xml:space="preserve"> Fund first-of-a-kind processing/recovery capacity (cost-share + blended finance + offtake/price-floor) — the binding gap and highest-leverage action.</w:t>
      </w:r>
    </w:p>
    <w:p>
      <w:pPr>
        <w:pStyle w:val="ListNumber"/>
      </w:pPr>
      <w:r>
        <w:rPr>
          <w:b/>
        </w:rPr>
        <w:t>Fix feedstock collection</w:t>
      </w:r>
      <w:r>
        <w:t xml:space="preserve"> (smart collection / deposit-return / WEEE) — the only route to the 20% recycling target.</w:t>
      </w:r>
    </w:p>
    <w:p>
      <w:pPr>
        <w:pStyle w:val="ListNumber"/>
      </w:pPr>
      <w:r>
        <w:rPr>
          <w:b/>
        </w:rPr>
        <w:t>Lead with cheap demand-side rules</w:t>
      </w:r>
      <w:r>
        <w:t xml:space="preserve"> — recycled-content procurement, ecodesign standards, product passports (high return, low cost), sequenced ahead of and alongside capacity.</w:t>
      </w:r>
    </w:p>
    <w:p>
      <w:pPr>
        <w:pStyle w:val="ListNumber"/>
      </w:pPr>
      <w:r>
        <w:rPr>
          <w:b/>
        </w:rPr>
        <w:t>Make any extraction responsible and contained</w:t>
      </w:r>
      <w:r>
        <w:t xml:space="preserve"> — community-benefit schemes (the binding constraint), high-ESG conditions, </w:t>
      </w:r>
      <w:r>
        <w:rPr>
          <w:b/>
        </w:rPr>
        <w:t>bonded closure</w:t>
      </w:r>
      <w:r>
        <w:t xml:space="preserve"> and progressive rehabilitation; impacts are site-specific and need project- and place-specific assessment.</w:t>
      </w:r>
    </w:p>
    <w:p>
      <w:pPr>
        <w:pStyle w:val="ListNumber"/>
      </w:pPr>
      <w:r>
        <w:rPr>
          <w:b/>
        </w:rPr>
        <w:t>Tie support to local content and skills</w:t>
      </w:r>
      <w:r>
        <w:t xml:space="preserve"> — converting headline jobs into *retained* NI jobs (~70%→~97%) and building the skills pipeline that gates the benefits.</w:t>
      </w:r>
    </w:p>
    <w:p>
      <w:pPr>
        <w:pStyle w:val="ListNumber"/>
      </w:pPr>
      <w:r>
        <w:rPr>
          <w:b/>
        </w:rPr>
        <w:t>Create one "strategic project" front door and a thin safety net</w:t>
      </w:r>
      <w:r>
        <w:t xml:space="preserve"> — a single designation (accessing EU CRMA fast-permitting via the Windsor Framework alongside the UK NWF/UKEF offer), plus international diversification and a modest ~180-day strategic reserve for residual risk.</w:t>
      </w:r>
    </w:p>
    <w:p>
      <w:r>
        <w:t xml:space="preserve">*Method, mathematics, data sources and assumptions underlying this evidence are set out in the accompanying technical report; parameter-level provenance and status are in the model's data register. All figures are model behaviour under stated, partly-proxy assumptions and are offered as </w:t>
      </w:r>
      <w:r>
        <w:rPr>
          <w:b/>
        </w:rPr>
        <w:t>directional, evidence-based</w:t>
      </w:r>
      <w:r>
        <w:t xml:space="preserve"> input to the review, not as forecasts. The respondent would welcome the opportunity to calibrate the model with the Department's data (NISRA Supply-Use/SAM, NI critical-mineral waste flows and a firm-level survey) to convert it into a fully calibrated decision tool.*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