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Northern Ireland Circular Minerals — Integrated Model Report</w:t>
      </w:r>
    </w:p>
    <w:p>
      <w:r>
        <w:rPr>
          <w:b/>
        </w:rPr>
        <w:t>Prepared for:</w:t>
      </w:r>
      <w:r>
        <w:t xml:space="preserve"> Department for the Economy (DfE) minerals &amp; circular-economy consultation</w:t>
      </w:r>
    </w:p>
    <w:p>
      <w:r>
        <w:rPr>
          <w:b/>
        </w:rPr>
        <w:t>Subject:</w:t>
      </w:r>
      <w:r>
        <w:t xml:space="preserve"> an integrated Agent-Based × dynamic Input–Output × Computable General Equilibrium (CGE) model of the Northern Ireland minerals system, and its answers to consultation questions 2.1–2.7.</w:t>
      </w:r>
    </w:p>
    <w:p>
      <w:r>
        <w:rPr>
          <w:b/>
        </w:rPr>
        <w:t>Status:</w:t>
      </w:r>
      <w:r>
        <w:t xml:space="preserve"> Tier-3 (fully coupled), validated against the Minviro evidence and the NI baseline, CI-checked (61-check harness).</w:t>
      </w:r>
    </w:p>
    <w:p>
      <w:pPr>
        <w:pStyle w:val="IntenseQuote"/>
      </w:pPr>
      <w:r>
        <w:rPr>
          <w:b/>
        </w:rPr>
        <w:t>How to read this report.</w:t>
      </w:r>
      <w:r>
        <w:t xml:space="preserve"> This is a *policy-scenario simulator*, not a forecasting tool. Real, sourced anchors are used for validation and control totals; most economic-structure coefficients and behavioural parameters are </w:t>
      </w:r>
      <w:r>
        <w:rPr>
          <w:b/>
        </w:rPr>
        <w:t>proxy</w:t>
      </w:r>
      <w:r>
        <w:t xml:space="preserve"> values, flagged in </w:t>
      </w:r>
      <w:r>
        <w:rPr>
          <w:rFonts w:ascii="Consolas" w:hAnsi="Consolas"/>
        </w:rPr>
        <w:t>model/data/data_register.csv</w:t>
      </w:r>
      <w:r>
        <w:t xml:space="preserve">. Every figure below is model behaviour under stated assumptions — </w:t>
      </w:r>
      <w:r>
        <w:rPr>
          <w:b/>
        </w:rPr>
        <w:t>not a prediction</w:t>
      </w:r>
      <w:r>
        <w:t>. Swapping the proxies for collected NI data (same model interfaces) turns this into a calibrated decision tool.</w:t>
      </w:r>
    </w:p>
    <w:p>
      <w:r>
        <w:t>This report has three parts, matching the request:</w:t>
      </w:r>
    </w:p>
    <w:p>
      <w:pPr>
        <w:pStyle w:val="ListNumber"/>
      </w:pPr>
      <w:r>
        <w:rPr>
          <w:b/>
        </w:rPr>
        <w:t>How the model is built</w:t>
      </w:r>
      <w:r>
        <w:t xml:space="preserve"> — methodology, technical detail, the supply-chain structure &amp; key players, and validation results.</w:t>
      </w:r>
    </w:p>
    <w:p>
      <w:pPr>
        <w:pStyle w:val="ListNumber"/>
      </w:pPr>
      <w:r>
        <w:rPr>
          <w:b/>
        </w:rPr>
        <w:t>Data &amp; assumptions</w:t>
      </w:r>
      <w:r>
        <w:t xml:space="preserve"> — what data built the model and what was assumed about it.</w:t>
      </w:r>
    </w:p>
    <w:p>
      <w:pPr>
        <w:pStyle w:val="ListNumber"/>
      </w:pPr>
      <w:r>
        <w:rPr>
          <w:b/>
        </w:rPr>
        <w:t>Answers to the seven questions</w:t>
      </w:r>
      <w:r>
        <w:t xml:space="preserve"> — for each, the experiment logic, the data used, the results (tables/figures), and how the results produce the answer.</w:t>
      </w:r>
    </w:p>
    <w:p>
      <w:pPr>
        <w:pStyle w:val="IntenseQuote"/>
      </w:pPr>
      <w:r>
        <w:rPr>
          <w:b/>
        </w:rPr>
        <w:t>This revision incorporates new external evidence</w:t>
      </w:r>
      <w:r>
        <w:t xml:space="preserve"> (data register + model code): the </w:t>
      </w:r>
      <w:r>
        <w:rPr>
          <w:b/>
        </w:rPr>
        <w:t>Vision 2035 annex 2035 cumulative-demand tonnages</w:t>
      </w:r>
      <w:r>
        <w:t xml:space="preserve"> as the demand anchor; an </w:t>
      </w:r>
      <w:r>
        <w:rPr>
          <w:b/>
        </w:rPr>
        <w:t>IEA-2025 top-three &amp; refining/processing concentration risk metric</w:t>
      </w:r>
      <w:r>
        <w:t xml:space="preserve"> (and export-control flag) beside single-country exposure (Q2.4); the </w:t>
      </w:r>
      <w:r>
        <w:rPr>
          <w:b/>
        </w:rPr>
        <w:t>"critical &amp; growth minerals"</w:t>
      </w:r>
      <w:r>
        <w:t xml:space="preserve"> distinction (copper is a UK *growth* mineral); the </w:t>
      </w:r>
      <w:r>
        <w:rPr>
          <w:b/>
        </w:rPr>
        <w:t>NISRA ASHE 2025</w:t>
      </w:r>
      <w:r>
        <w:t xml:space="preserve"> wage anchor (£37,100, 2024 retained as a sensitivity); the </w:t>
      </w:r>
      <w:r>
        <w:rPr>
          <w:b/>
        </w:rPr>
        <w:t>NISRA NIETS 2024</w:t>
      </w:r>
      <w:r>
        <w:t xml:space="preserve"> trade frame for Q2.6 exports/avoided imports; and the </w:t>
      </w:r>
      <w:r>
        <w:rPr>
          <w:b/>
        </w:rPr>
        <w:t>EU-CRMA stretch targets</w:t>
      </w:r>
      <w:r>
        <w:t xml:space="preserve"> (25% recycling, ≤65% single-country) as an EU-market sensitivity. </w:t>
      </w:r>
      <w:r>
        <w:rPr>
          <w:b/>
        </w:rPr>
        <w:t>Q2.7 has been refocused</w:t>
      </w:r>
      <w:r>
        <w:t xml:space="preserve"> to the consultation question as posed — the *economic* negative impacts of mineral development (leakage, closure/legacy liability, agriculture/tourism displacement, boom-bust exposure, stranded capital; </w:t>
      </w:r>
      <w:r>
        <w:rPr>
          <w:rFonts w:ascii="Consolas" w:hAnsi="Consolas"/>
        </w:rPr>
        <w:t>econ_impact_module.py</w:t>
      </w:r>
      <w:r>
        <w:t xml:space="preserve">), with environmental impacts moved out of scope (still tracked in the I-O CO₂/PM satellites). The harness is now </w:t>
      </w:r>
      <w:r>
        <w:rPr>
          <w:b/>
        </w:rPr>
        <w:t>61 checks</w:t>
      </w:r>
      <w:r>
        <w:t>.</w:t>
      </w:r>
    </w:p>
    <w:p>
      <w:pPr>
        <w:pStyle w:val="Heading1"/>
      </w:pPr>
      <w:r>
        <w:t>Part 1 — How the model is developed</w:t>
      </w:r>
    </w:p>
    <w:p>
      <w:pPr>
        <w:pStyle w:val="Heading2"/>
      </w:pPr>
      <w:r>
        <w:t>1.1 Purpose and approach</w:t>
      </w:r>
    </w:p>
    <w:p>
      <w:r>
        <w:t xml:space="preserve">The model simulates the NI minerals system end to end and asks not "mining *vs* recycling" but </w:t>
      </w:r>
      <w:r>
        <w:rPr>
          <w:b/>
        </w:rPr>
        <w:t>which mix</w:t>
      </w:r>
      <w:r>
        <w:t xml:space="preserve"> of primary extraction, recycling, substitution, circular design, imports and public support delivers the best balance of supply resilience, GVA, employment, environmental protection and community acceptance:</w:t>
      </w:r>
    </w:p>
    <w:p>
      <w:r>
        <w:rPr>
          <w:rFonts w:ascii="Consolas" w:hAnsi="Consolas"/>
          <w:sz w:val="16"/>
        </w:rPr>
        <w:t>primary extraction → processing/refining → manufacturing use → in-use stock</w:t>
        <w:br/>
        <w:t xml:space="preserve">   → end-of-life arisings → collection → recovery/recycling → secondary material</w:t>
        <w:br/>
        <w:t xml:space="preserve">   → (imports/exports close the balance)</w:t>
      </w:r>
    </w:p>
    <w:p>
      <w:pPr>
        <w:pStyle w:val="ListBullet"/>
      </w:pPr>
      <w:r>
        <w:rPr>
          <w:b/>
        </w:rPr>
        <w:t>Horizon:</w:t>
      </w:r>
      <w:r>
        <w:t xml:space="preserve"> 30 years (2026–2055), discounted at the HM Treasury / NIGEAE </w:t>
      </w:r>
      <w:r>
        <w:rPr>
          <w:b/>
        </w:rPr>
        <w:t>Social Time Preference Rate of 3.5%</w:t>
      </w:r>
      <w:r>
        <w:t>.</w:t>
      </w:r>
    </w:p>
    <w:p>
      <w:pPr>
        <w:pStyle w:val="ListBullet"/>
      </w:pPr>
      <w:r>
        <w:rPr>
          <w:b/>
        </w:rPr>
        <w:t>Coupling style:</w:t>
      </w:r>
      <w:r>
        <w:t xml:space="preserve"> *soft-linking* — the engines run sequentially on an annual step, passing objects between them. This is the debuggable, independently-validatable choice (vs simultaneous solving).</w:t>
      </w:r>
    </w:p>
    <w:p>
      <w:pPr>
        <w:pStyle w:val="ListBullet"/>
      </w:pPr>
      <w:r>
        <w:rPr>
          <w:b/>
        </w:rPr>
        <w:t>Grounding:</w:t>
      </w:r>
      <w:r>
        <w:t xml:space="preserve"> the agents are </w:t>
      </w:r>
      <w:r>
        <w:rPr>
          <w:b/>
        </w:rPr>
        <w:t>named NI firms</w:t>
      </w:r>
      <w:r>
        <w:t xml:space="preserve"> (21 of them) and every policy lever maps to a </w:t>
      </w:r>
      <w:r>
        <w:rPr>
          <w:b/>
        </w:rPr>
        <w:t>named real-world instrument</w:t>
      </w:r>
      <w:r>
        <w:t xml:space="preserve"> (NWF/UKEF, BICS, EU CRMA strategic-project route, etc.).</w:t>
      </w:r>
    </w:p>
    <w:p>
      <w:pPr>
        <w:pStyle w:val="Heading2"/>
      </w:pPr>
      <w:r>
        <w:t>1.2 The NI minerals supply chain and its key players</w:t>
      </w:r>
    </w:p>
    <w:p>
      <w:r>
        <w:t>The model is populated from a register of 21 named NI operators (</w:t>
      </w:r>
      <w:r>
        <w:rPr>
          <w:rFonts w:ascii="Consolas" w:hAnsi="Consolas"/>
        </w:rPr>
        <w:t>company_register.csv</w:t>
      </w:r>
      <w:r>
        <w:t xml:space="preserve">), grouped into the five supply-chain stages below. The single most important structural fact — which drives most of the findings — is the </w:t>
      </w:r>
      <w:r>
        <w:rPr>
          <w:b/>
        </w:rPr>
        <w:t>midstream bottleneck</w:t>
      </w:r>
      <w:r>
        <w:t xml:space="preserve">: NI has strong upstream extraction and very strong downstream manufacturing demand, but only </w:t>
      </w:r>
      <w:r>
        <w:rPr>
          <w:b/>
        </w:rPr>
        <w:t>one</w:t>
      </w:r>
      <w:r>
        <w:t xml:space="preserve"> critical-mineral processing/recovery asset (Ionic Technologies, 70 staff).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32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supply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NI minerals supply chain — structure and key players. Linear chain (top, left→right) with the circular return loop (bottom). Stage employment is summed from the 21-firm register. The midstream processing/recovery stage is the binding gap.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Firms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Jobs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Key named players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Role in model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Primary / mining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2,840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Dalradian (Au/Sb/Cu, contested), Mannok, Irish Salt, Kilwaughter, Breedon/Whitemountain, FP McCann, Galantas, Conroy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deposit-quality &amp; social-licence signal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Collection / feedstock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Re-Gen, RiverRidge, Bryson, Envirogreen, Plaswire (turbine blades)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feedstock-collection signal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Processing / recovery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Ionic Technologies</w:t>
            </w:r>
            <w:r>
              <w:rPr>
                <w:sz w:val="16"/>
              </w:rPr>
              <w:t xml:space="preserve"> (Belfast, 400 tpa REE-oxide target)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 xml:space="preserve">recovery-capacity signal — </w:t>
            </w:r>
            <w:r>
              <w:rPr>
                <w:b/>
                <w:sz w:val="16"/>
              </w:rPr>
              <w:t>the binding gap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Downstream demand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8,470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Wrightbus, Seagate, Spirit, Encirc, Harland &amp; Wolff/Navantia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demand + recycled-content uptake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Equipment / enabling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1,500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CDE Group, Terex/Powerscreen/Finlay (+ QUB/QUILL)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equipment, skills, cluster anchor</w:t>
            </w:r>
          </w:p>
        </w:tc>
      </w:tr>
    </w:tbl>
    <w:p>
      <w:r>
        <w:t xml:space="preserve">NI's distinctive assets: a real </w:t>
      </w:r>
      <w:r>
        <w:rPr>
          <w:b/>
        </w:rPr>
        <w:t>rare-earth recycling cluster</w:t>
      </w:r>
      <w:r>
        <w:t xml:space="preserve"> (Ionic + QUB's QUILL + Plaswire), </w:t>
      </w:r>
      <w:r>
        <w:rPr>
          <w:b/>
        </w:rPr>
        <w:t>Belfast Harbour</w:t>
      </w:r>
      <w:r>
        <w:t xml:space="preserve"> as an offshore-wind decommissioning hub (a magnet-feedstock pipeline), a </w:t>
      </w:r>
      <w:r>
        <w:rPr>
          <w:b/>
        </w:rPr>
        <w:t>£1,164m named-firm investment pipeline</w:t>
      </w:r>
      <w:r>
        <w:t xml:space="preserve">, and </w:t>
      </w:r>
      <w:r>
        <w:rPr>
          <w:b/>
        </w:rPr>
        <w:t>dual UK + EU market access</w:t>
      </w:r>
      <w:r>
        <w:t xml:space="preserve"> via the Windsor Framework.</w:t>
      </w:r>
    </w:p>
    <w:p>
      <w:pPr>
        <w:pStyle w:val="Heading2"/>
      </w:pPr>
      <w:r>
        <w:t>1.3 Architecture — the coupled engines</w:t>
      </w:r>
    </w:p>
    <w:p>
      <w:r>
        <w:t>Three soft-linked engines run on a physical backbone, with spatial and indicator layers on top:</w:t>
      </w:r>
    </w:p>
    <w:p>
      <w:r>
        <w:rPr>
          <w:rFonts w:ascii="Consolas" w:hAnsi="Consolas"/>
          <w:sz w:val="16"/>
        </w:rPr>
        <w:t xml:space="preserve"> SCENARIO / POLICY LEVER LAYER  (grants, permitting, ESG, finance, offtake,</w:t>
        <w:br/>
        <w:t xml:space="preserve">   collection, procurement, design standards, skills, stockpile, shocks)</w:t>
        <w:br/>
        <w:t xml:space="preserve">        │ policy parameters</w:t>
        <w:br/>
        <w:t xml:space="preserve">        ▼</w:t>
        <w:br/>
        <w:t xml:space="preserve"> ABM (named NI firms)  → signals: new_domestic, recovery_boost,</w:t>
        <w:br/>
        <w:t xml:space="preserve">   MiningFirm · RecyclerFirm · ManufacturerFirm · GovernmentCollector</w:t>
        <w:br/>
        <w:t xml:space="preserve">        │ physical signals          ▲ behaviour ← prices/wages (CGE feedback)</w:t>
        <w:br/>
        <w:t xml:space="preserve">        ▼                           │</w:t>
        <w:br/>
        <w:t xml:space="preserve"> MFA (stock-flow per mineral; mass balance; supply shares; shocks)</w:t>
        <w:br/>
        <w:t xml:space="preserve">        │ final demand (£m)</w:t>
        <w:br/>
        <w:t xml:space="preserve">        ▼</w:t>
        <w:br/>
        <w:t xml:space="preserve"> Dynamic Leontief I-O (GVA, jobs, CO₂, PM; Type I/II; coefficients evolve)</w:t>
        <w:br/>
        <w:t xml:space="preserve">        │                           ▲ feedback (price, wage)</w:t>
        <w:br/>
        <w:t xml:space="preserve">        ▼                           │</w:t>
        <w:br/>
        <w:t xml:space="preserve"> CGE on NI SAM (Cobb-Douglas VA + Armington CES; prices, wages, GVA)</w:t>
        <w:br/>
        <w:t xml:space="preserve">        │</w:t>
        <w:br/>
        <w:t xml:space="preserve">        ▼</w:t>
        <w:br/>
        <w:t xml:space="preserve"> Spatial layer (jobs → 11 councils)   +   Indicators (Q2.1–2.7 + validation)</w:t>
      </w:r>
    </w:p>
    <w:p>
      <w:pPr>
        <w:pStyle w:val="Heading2"/>
      </w:pPr>
      <w:r>
        <w:t>1.4 Module-by-module technical detail</w:t>
      </w:r>
    </w:p>
    <w:p>
      <w:r>
        <w:rPr>
          <w:b/>
        </w:rPr>
        <w:t>Material Flow Account (MFA) — the physical backbone.</w:t>
      </w:r>
      <w:r>
        <w:t xml:space="preserve"> For each of 10 minerals and each year it tracks a stock-flow account from seed parameters </w:t>
      </w:r>
      <w:r>
        <w:rPr>
          <w:rFonts w:ascii="Consolas" w:hAnsi="Consolas"/>
        </w:rPr>
        <w:t>(demand, lifetime, collection, recovery, domestic share, import concentration)</w:t>
      </w:r>
      <w:r>
        <w:t>:</w:t>
      </w:r>
    </w:p>
    <w:p>
      <w:pPr>
        <w:pStyle w:val="ListBullet"/>
      </w:pPr>
      <w:r>
        <w:t xml:space="preserve">End-of-life arisings = inflow placed on market </w:t>
      </w:r>
      <w:r>
        <w:rPr>
          <w:rFonts w:ascii="Consolas" w:hAnsi="Consolas"/>
        </w:rPr>
        <w:t>lifetime</w:t>
      </w:r>
      <w:r>
        <w:t xml:space="preserve"> years ago (ring buffer).</w:t>
      </w:r>
    </w:p>
    <w:p>
      <w:pPr>
        <w:pStyle w:val="ListBullet"/>
      </w:pPr>
      <w:r>
        <w:rPr>
          <w:rFonts w:ascii="Consolas" w:hAnsi="Consolas"/>
        </w:rPr>
        <w:t>collected = eol · min(0.95, coll + collection_boost)</w:t>
      </w:r>
      <w:r>
        <w:t xml:space="preserve">; </w:t>
      </w:r>
      <w:r>
        <w:rPr>
          <w:rFonts w:ascii="Consolas" w:hAnsi="Consolas"/>
        </w:rPr>
        <w:t>recycled = collected · min(0.98, rec + recovery_boost)</w:t>
      </w:r>
      <w:r>
        <w:t xml:space="preserve">; secondary supply </w:t>
      </w:r>
      <w:r>
        <w:rPr>
          <w:rFonts w:ascii="Consolas" w:hAnsi="Consolas"/>
        </w:rPr>
        <w:t>= min(recycled, demand)</w:t>
      </w:r>
      <w:r>
        <w:t>.</w:t>
      </w:r>
    </w:p>
    <w:p>
      <w:pPr>
        <w:pStyle w:val="ListBullet"/>
      </w:pPr>
      <w:r>
        <w:t xml:space="preserve">Domestic primary </w:t>
      </w:r>
      <w:r>
        <w:rPr>
          <w:rFonts w:ascii="Consolas" w:hAnsi="Consolas"/>
        </w:rPr>
        <w:t>= demand · min(1, dom0 + new_domestic)</w:t>
      </w:r>
      <w:r>
        <w:t xml:space="preserve">; </w:t>
      </w:r>
      <w:r>
        <w:rPr>
          <w:b/>
        </w:rPr>
        <w:t>imports close the balance</w:t>
      </w:r>
      <w:r>
        <w:t>, subject to a shock cap.</w:t>
      </w:r>
    </w:p>
    <w:p>
      <w:pPr>
        <w:pStyle w:val="ListBullet"/>
      </w:pPr>
      <w:r>
        <w:rPr>
          <w:b/>
        </w:rPr>
        <w:t>Mass balance is checked every year, every mineral:</w:t>
      </w:r>
      <w:r>
        <w:t xml:space="preserve"> </w:t>
      </w:r>
      <w:r>
        <w:rPr>
          <w:rFonts w:ascii="Consolas" w:hAnsi="Consolas"/>
        </w:rPr>
        <w:t>domestic + imports + secondary + unmet = demand</w:t>
      </w:r>
      <w:r>
        <w:t xml:space="preserve"> (±1e-6).</w:t>
      </w:r>
    </w:p>
    <w:p>
      <w:pPr>
        <w:pStyle w:val="ListBullet"/>
      </w:pPr>
      <w:r>
        <w:t xml:space="preserve">Supply-security indicators: domestic / recycled / import shares, supply-gap share, and </w:t>
      </w:r>
      <w:r>
        <w:rPr>
          <w:rFonts w:ascii="Consolas" w:hAnsi="Consolas"/>
        </w:rPr>
        <w:t>single_country_exposure = import_share · import_concentration</w:t>
      </w:r>
      <w:r>
        <w:t>.</w:t>
      </w:r>
    </w:p>
    <w:p>
      <w:pPr>
        <w:pStyle w:val="ListBullet"/>
      </w:pPr>
      <w:r>
        <w:rPr>
          <w:b/>
        </w:rPr>
        <w:t>Upstream shock</w:t>
      </w:r>
      <w:r>
        <w:t xml:space="preserve"> = an optional </w:t>
      </w:r>
      <w:r>
        <w:rPr>
          <w:rFonts w:ascii="Consolas" w:hAnsi="Consolas"/>
        </w:rPr>
        <w:t>import_constraint</w:t>
      </w:r>
      <w:r>
        <w:t xml:space="preserve"> (static </w:t>
      </w:r>
      <w:r>
        <w:rPr>
          <w:rFonts w:ascii="Consolas" w:hAnsi="Consolas"/>
        </w:rPr>
        <w:t>{mineral: cap}</w:t>
      </w:r>
      <w:r>
        <w:t xml:space="preserve"> *or* a callable </w:t>
      </w:r>
      <w:r>
        <w:rPr>
          <w:rFonts w:ascii="Consolas" w:hAnsi="Consolas"/>
        </w:rPr>
        <w:t>f(t)</w:t>
      </w:r>
      <w:r>
        <w:t xml:space="preserve"> for a time-varying onset) modelling a </w:t>
      </w:r>
      <w:r>
        <w:rPr>
          <w:b/>
        </w:rPr>
        <w:t>dominant-supplier loss</w:t>
      </w:r>
      <w:r>
        <w:t xml:space="preserve">. If capped imports + domestic + recycled cannot meet demand, the shortfall is recorded as </w:t>
      </w:r>
      <w:r>
        <w:rPr>
          <w:b/>
        </w:rPr>
        <w:t>`unmet_demand` (the supply gap)</w:t>
      </w:r>
      <w:r>
        <w:t xml:space="preserve"> rather than silently imported — this is the threat that hits downstream firms.</w:t>
      </w:r>
    </w:p>
    <w:p>
      <w:r>
        <w:rPr>
          <w:b/>
        </w:rPr>
        <w:t>Agent-Based Model (ABM) — firm-grounded (mesa 3.x).</w:t>
      </w:r>
      <w:r>
        <w:t xml:space="preserve"> Every agent is a named NI operator parsed from the register.</w:t>
      </w:r>
    </w:p>
    <w:p>
      <w:pPr>
        <w:pStyle w:val="ListBullet"/>
      </w:pPr>
      <w:r>
        <w:rPr>
          <w:b/>
        </w:rPr>
        <w:t>MiningFirm</w:t>
      </w:r>
      <w:r>
        <w:t xml:space="preserve"> makes a yearly real-option development decision: it develops only if </w:t>
      </w:r>
      <w:r>
        <w:rPr>
          <w:rFonts w:ascii="Consolas" w:hAnsi="Consolas"/>
        </w:rPr>
        <w:t>margin &gt; dev_hurdle (0.45)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</w:rPr>
        <w:t>social_licence &gt; 0.4</w:t>
      </w:r>
      <w:r>
        <w:t>, where margin nets deposit quality × price signal, grants and skills against ESG cost, project risk and a finance-eased WACC (11.26%), and social licence rises with a community-benefit package. So the best deposit (Dalradian, high planning-risk) stays blocked unless community benefit lifts its social licence — the central Q2.2 result.</w:t>
      </w:r>
    </w:p>
    <w:p>
      <w:pPr>
        <w:pStyle w:val="ListBullet"/>
      </w:pPr>
      <w:r>
        <w:rPr>
          <w:b/>
        </w:rPr>
        <w:t>RecyclerFirm</w:t>
      </w:r>
      <w:r>
        <w:t xml:space="preserve"> (processor like Ionic, or collector like Re-Gen/Bryson) raises a </w:t>
      </w:r>
      <w:r>
        <w:rPr>
          <w:rFonts w:ascii="Consolas" w:hAnsi="Consolas"/>
        </w:rPr>
        <w:t>recovery_boost</w:t>
      </w:r>
      <w:r>
        <w:t xml:space="preserve"> from a viability score driven by recycling/innovation grants, recycled-content demand pull, offtake support, energy cost and capacity.</w:t>
      </w:r>
    </w:p>
    <w:p>
      <w:pPr>
        <w:pStyle w:val="ListBullet"/>
      </w:pPr>
      <w:r>
        <w:rPr>
          <w:b/>
        </w:rPr>
        <w:t>ManufacturerFirm</w:t>
      </w:r>
      <w:r>
        <w:t xml:space="preserve"> raises recycled-content uptake (which shifts the I-O mining→recycling coefficient); equipment firms (CDE, Terex) provide static capex support.</w:t>
      </w:r>
    </w:p>
    <w:p>
      <w:pPr>
        <w:pStyle w:val="ListBullet"/>
      </w:pPr>
      <w:r>
        <w:t xml:space="preserve">A </w:t>
      </w:r>
      <w:r>
        <w:rPr>
          <w:rFonts w:ascii="Consolas" w:hAnsi="Consolas"/>
        </w:rPr>
        <w:t>GovernmentCollector</w:t>
      </w:r>
      <w:r>
        <w:t xml:space="preserve"> runs policy-driven municipal collection. </w:t>
      </w:r>
      <w:r>
        <w:rPr>
          <w:b/>
        </w:rPr>
        <w:t>CGE feedback</w:t>
      </w:r>
      <w:r>
        <w:t xml:space="preserve"> (Tier-3) raises the development hurdle with the wage index and feeds a mineral price signal back into mining decisions.</w:t>
      </w:r>
    </w:p>
    <w:p>
      <w:r>
        <w:rPr>
          <w:b/>
        </w:rPr>
        <w:t>Dynamic Input–Output (I-O).</w:t>
      </w:r>
      <w:r>
        <w:t xml:space="preserve"> Leontief production accounting, </w:t>
      </w:r>
      <w:r>
        <w:rPr>
          <w:rFonts w:ascii="Consolas" w:hAnsi="Consolas"/>
        </w:rPr>
        <w:t>L = (I − A)⁻¹</w:t>
      </w:r>
      <w:r>
        <w:t xml:space="preserve">, on an 8-sector proxy table scaled by </w:t>
      </w:r>
      <w:r>
        <w:rPr>
          <w:rFonts w:ascii="Consolas" w:hAnsi="Consolas"/>
        </w:rPr>
        <w:t>DOMESTIC_INTENSITY = 0.62</w:t>
      </w:r>
      <w:r>
        <w:t xml:space="preserve"> (the high import leakage of a small open region). Type I (direct+indirect) and </w:t>
      </w:r>
      <w:r>
        <w:rPr>
          <w:b/>
        </w:rPr>
        <w:t>Type II</w:t>
      </w:r>
      <w:r>
        <w:t xml:space="preserve"> (adds induced, via a closed household row/column). Satellites per £m output give GVA, jobs, CO₂ and PM. Coefficients </w:t>
      </w:r>
      <w:r>
        <w:rPr>
          <w:b/>
        </w:rPr>
        <w:t>evolve</w:t>
      </w:r>
      <w:r>
        <w:t xml:space="preserve"> annually from ABM signals (recycling substitution, local-procurement gain, productivity). Calibrated so a mining demand shock yields ~10 total jobs/£m and a Type-II mining output multiplier ~1.69.</w:t>
      </w:r>
    </w:p>
    <w:p>
      <w:r>
        <w:rPr>
          <w:b/>
        </w:rPr>
        <w:t>Social Accounting Matrix (SAM) + CGE.</w:t>
      </w:r>
      <w:r>
        <w:t xml:space="preserve"> NI has no published SAM, so one is </w:t>
      </w:r>
      <w:r>
        <w:rPr>
          <w:b/>
        </w:rPr>
        <w:t>constructed and balances by construction</w:t>
      </w:r>
      <w:r>
        <w:t xml:space="preserve"> (row=column to ~1e-12), pinned to the real </w:t>
      </w:r>
      <w:r>
        <w:rPr>
          <w:b/>
        </w:rPr>
        <w:t>£108m mining-GVA anchor</w:t>
      </w:r>
      <w:r>
        <w:t xml:space="preserve"> within ~£40,000m total NI GVA. The compact recursive-dynamic </w:t>
      </w:r>
      <w:r>
        <w:rPr>
          <w:b/>
        </w:rPr>
        <w:t>CGE</w:t>
      </w:r>
      <w:r>
        <w:t xml:space="preserve"> uses Cobb-Douglas value added (calibrated to replicate the benchmark exactly), </w:t>
      </w:r>
      <w:r>
        <w:rPr>
          <w:b/>
        </w:rPr>
        <w:t>Armington CES</w:t>
      </w:r>
      <w:r>
        <w:t xml:space="preserve"> (σ=2.0) for domestic-vs-import substitution and constant-elasticity exports (σ=2.0); flexible wages/rentals clear factor markets. It is solved with </w:t>
      </w:r>
      <w:r>
        <w:rPr>
          <w:rFonts w:ascii="Consolas" w:hAnsi="Consolas"/>
        </w:rPr>
        <w:t>scipy.optimize.root</w:t>
      </w:r>
      <w:r>
        <w:t>; a partial-equilibrium fallback (</w:t>
      </w:r>
      <w:r>
        <w:rPr>
          <w:rFonts w:ascii="Consolas" w:hAnsi="Consolas"/>
        </w:rPr>
        <w:t>PEPriceLabour</w:t>
      </w:r>
      <w:r>
        <w:t>) guarantees a result if the full solve ever fails. Feedback to the ABM: the relative mining price (clipped 0.8–1.5) and the wage index.</w:t>
      </w:r>
    </w:p>
    <w:p>
      <w:r>
        <w:rPr>
          <w:b/>
        </w:rPr>
        <w:t>Spatial layer.</w:t>
      </w:r>
      <w:r>
        <w:t xml:space="preserve"> Allocates sectoral jobs to the </w:t>
      </w:r>
      <w:r>
        <w:rPr>
          <w:b/>
        </w:rPr>
        <w:t>11 NI Local Government Districts</w:t>
      </w:r>
      <w:r>
        <w:t xml:space="preserve">, blending population-tilted shares 50/50 with the </w:t>
      </w:r>
      <w:r>
        <w:rPr>
          <w:b/>
        </w:rPr>
        <w:t>actual named-firm geography</w:t>
      </w:r>
      <w:r>
        <w:t xml:space="preserve"> (so mining concentrates in Fermanagh &amp; Omagh, manufacturing in Belfast and Mid &amp; East Antrim). District shares sum to 1 per sector.</w:t>
      </w:r>
    </w:p>
    <w:p>
      <w:r>
        <w:rPr>
          <w:b/>
        </w:rPr>
        <w:t>Coupling loop (annual).</w:t>
      </w:r>
      <w:r>
        <w:t xml:space="preserve"> price index → ABM step → strategic-stockpile drawdown → MFA step → I-O coefficient update → final-demand vector + impacts → CGE solve → spatial allocation + discounting. Demand growth optionally </w:t>
      </w:r>
      <w:r>
        <w:rPr>
          <w:b/>
        </w:rPr>
        <w:t>plateaus after 2035</w:t>
      </w:r>
      <w:r>
        <w:t xml:space="preserve"> so document-anchored CAGRs do not compound unrealistically over 30 years.</w:t>
      </w:r>
    </w:p>
    <w:p>
      <w:pPr>
        <w:pStyle w:val="Heading2"/>
      </w:pPr>
      <w:r>
        <w:t>1.5 Policy levers</w:t>
      </w:r>
    </w:p>
    <w:p>
      <w:r>
        <w:t>Sixteen levers, each mapped to a named instrument; default 0 so the baseline is undisturbed.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Lever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Acts 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Named instrument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finance_support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mining cost of capital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NWF + UKEF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exploration_grant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mining margin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exploration support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permit_years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mining delay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EA priority-tracked permitting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community_benefit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social licence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community-benefit / ESG scheme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recycling_grant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recycler viability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capital recovery grants (Vision 2035 DBT)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innovation_grant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recovery yield + design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CLIMATES £15m + Faraday/ReLiB £34m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energy_cost_index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recycler viability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BICS energy support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secondary_market_support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recycler + manufacturer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UKEF offtake + price floor (cf. MP Materials)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collection_infrastructure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collection rates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WEEE / Deposit-Return Scheme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product_passport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collection + design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digital passports / EPR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recycled_content_procurement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substitution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minimum recycled-content procurement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design_standards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substitution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ecodesign / design-for-disassembly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local_supplier_support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I-O local procurement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supplier development (Invest NI)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skills_support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capacity + mining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Skills England + DWP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strategic_stockpile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import buffer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defence stockpile (Japan/Korea practice)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diversification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single-country concentration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international partnerships (cuts effective concentration up to 50%)</w:t>
            </w:r>
          </w:p>
        </w:tc>
      </w:tr>
    </w:tbl>
    <w:p>
      <w:r>
        <w:t xml:space="preserve">The </w:t>
      </w:r>
      <w:r>
        <w:rPr>
          <w:b/>
        </w:rPr>
        <w:t>supply shock</w:t>
      </w:r>
      <w:r>
        <w:t xml:space="preserve"> itself is not a lever but an </w:t>
      </w:r>
      <w:r>
        <w:rPr>
          <w:rFonts w:ascii="Consolas" w:hAnsi="Consolas"/>
        </w:rPr>
        <w:t>import_constraint</w:t>
      </w:r>
      <w:r>
        <w:t xml:space="preserve">, with caps set to </w:t>
      </w:r>
      <w:r>
        <w:rPr>
          <w:rFonts w:ascii="Consolas" w:hAnsi="Consolas"/>
        </w:rPr>
        <w:t>1 − loss_factor × (single-country concentration)</w:t>
      </w:r>
      <w:r>
        <w:t>.</w:t>
      </w:r>
    </w:p>
    <w:p>
      <w:pPr>
        <w:pStyle w:val="Heading2"/>
      </w:pPr>
      <w:r>
        <w:t>1.6 Model validation results</w:t>
      </w:r>
    </w:p>
    <w:p>
      <w:r>
        <w:rPr>
          <w:b/>
        </w:rPr>
        <w:t>(a) Validation against the Minviro independent evidence.</w:t>
      </w:r>
      <w:r>
        <w:t xml:space="preserve"> The I-O core is validated by injecting a mining final-demand shock sized to Minviro's one-mine (£7.3m) and two-mine (£43m) total output, then comparing </w:t>
      </w:r>
      <w:r>
        <w:rPr>
          <w:b/>
        </w:rPr>
        <w:t>jobs</w:t>
      </w:r>
      <w:r>
        <w:t xml:space="preserve"> and </w:t>
      </w:r>
      <w:r>
        <w:rPr>
          <w:b/>
        </w:rPr>
        <w:t>direct</w:t>
      </w:r>
      <w:r>
        <w:t xml:space="preserve"> mining GVA like-for-like: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Minviro anchor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One mine (3a)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Output (£m/yr)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7.30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exact (calibration target)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One mine (3a)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Jobs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73.1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within 0.1%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One mine (3a)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 mining GVA (£m)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within 1.5%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Two mines (4b)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Output (£m/yr)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43.0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exact (calibration target)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Two mines (4b)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Jobs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430.4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within 0.1%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Two mines (4b)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 mining GVA (£m)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within 3.2%</w:t>
            </w:r>
          </w:p>
        </w:tc>
      </w:tr>
    </w:tbl>
    <w:p>
      <w:r>
        <w:rPr>
          <w:b/>
        </w:rPr>
        <w:t>(b) Verification &amp; continuous integration.</w:t>
      </w:r>
      <w:r>
        <w:t xml:space="preserve"> A harness (</w:t>
      </w:r>
      <w:r>
        <w:rPr>
          <w:rFonts w:ascii="Consolas" w:hAnsi="Consolas"/>
        </w:rPr>
        <w:t>verify_model.py</w:t>
      </w:r>
      <w:r>
        <w:t xml:space="preserve">) runs </w:t>
      </w:r>
      <w:r>
        <w:rPr>
          <w:b/>
        </w:rPr>
        <w:t>61 checks</w:t>
      </w:r>
      <w:r>
        <w:t xml:space="preserve"> on every change and </w:t>
      </w:r>
      <w:r>
        <w:rPr>
          <w:b/>
        </w:rPr>
        <w:t>gates the CI build</w:t>
      </w:r>
      <w:r>
        <w:t xml:space="preserve"> (</w:t>
      </w:r>
      <w:r>
        <w:rPr>
          <w:rFonts w:ascii="Consolas" w:hAnsi="Consolas"/>
        </w:rPr>
        <w:t>.github/workflows/verify.yml</w:t>
      </w:r>
      <w:r>
        <w:t>):</w:t>
      </w:r>
    </w:p>
    <w:p>
      <w:pPr>
        <w:pStyle w:val="ListBullet"/>
      </w:pPr>
      <w:r>
        <w:t xml:space="preserve">*Invariant checks* — MFA mass balance (baseline + shock), supply-share bounds &amp; closure, no NaN/negatives, </w:t>
      </w:r>
      <w:r>
        <w:rPr>
          <w:b/>
        </w:rPr>
        <w:t>determinism</w:t>
      </w:r>
      <w:r>
        <w:t xml:space="preserve"> (identical config → byte-identical output), SAM balance (~1e-12) + the mining-GVA anchor, CGE benchmark replication (wage = 1.000), CGE partial-equilibrium fallback, spatial share closure, stockpile reserve non-negativity &amp; depletion, register integrity, economic-sanity ranges, the geopolitical features (diversification, time-varying shock), and the </w:t>
      </w:r>
      <w:r>
        <w:rPr>
          <w:b/>
        </w:rPr>
        <w:t>IEA-2025 top-three/refining/export-control risk metrics</w:t>
      </w:r>
      <w:r>
        <w:t xml:space="preserve"> (top-three exposure ≥ single-country; refining &amp; export-control exposures bounded).</w:t>
      </w:r>
    </w:p>
    <w:p>
      <w:pPr>
        <w:pStyle w:val="ListBullet"/>
      </w:pPr>
      <w:r>
        <w:t xml:space="preserve">*Property-based / fuzz checks* — 30 random valid policy bundles (random lever subsets, demand growth, static/time-varying shocks, plateau, CGE on/off) must </w:t>
      </w:r>
      <w:r>
        <w:rPr>
          <w:b/>
        </w:rPr>
        <w:t>all</w:t>
      </w:r>
      <w:r>
        <w:t xml:space="preserve"> preserve mass balance, share closure, no-NaN/negatives and a non-negative reserve.</w:t>
      </w:r>
    </w:p>
    <w:p>
      <w:r>
        <w:rPr>
          <w:b/>
        </w:rPr>
        <w:t>All 61 checks pass.</w:t>
      </w:r>
      <w:r>
        <w:t xml:space="preserve"> The model is deterministic and reproducible (</w:t>
      </w:r>
      <w:r>
        <w:rPr>
          <w:rFonts w:ascii="Consolas" w:hAnsi="Consolas"/>
        </w:rPr>
        <w:t>python run_mvm.py; python verify_model.py</w:t>
      </w:r>
      <w:r>
        <w:t xml:space="preserve">). A durable, layered validation report (design rationale, summary, per-check results and limitations) is generated by </w:t>
      </w:r>
      <w:r>
        <w:rPr>
          <w:rFonts w:ascii="Consolas" w:hAnsi="Consolas"/>
        </w:rPr>
        <w:t>model/validate_model_report.py</w:t>
      </w:r>
      <w:r>
        <w:t xml:space="preserve"> → </w:t>
      </w:r>
      <w:r>
        <w:rPr>
          <w:rFonts w:ascii="Consolas" w:hAnsi="Consolas"/>
        </w:rPr>
        <w:t>word/Model_Validation_Report.docx</w:t>
      </w:r>
      <w:r>
        <w:t xml:space="preserve"> (61 passed / 0 failed).</w:t>
      </w:r>
    </w:p>
    <w:p>
      <w:r>
        <w:rPr>
          <w:b/>
        </w:rPr>
        <w:t>(c) Validation of the new evidence layer (this revision).</w:t>
      </w:r>
      <w:r>
        <w:t xml:space="preserve"> The IEA-2025 risk indices and the critical/growth split were independently re-validated across a 30-year shocked run: </w:t>
      </w:r>
      <w:r>
        <w:rPr>
          <w:b/>
        </w:rPr>
        <w:t>top-three exposure ≥ single-country exposure in every year</w:t>
      </w:r>
      <w:r>
        <w:t xml:space="preserve"> (the top-three cluster always contains the dominant supplier), </w:t>
      </w:r>
      <w:r>
        <w:rPr>
          <w:b/>
        </w:rPr>
        <w:t>refining, export-control and critical-only shares stay within [0,1] every year</w:t>
      </w:r>
      <w:r>
        <w:t xml:space="preserve">, and </w:t>
      </w:r>
      <w:r>
        <w:rPr>
          <w:b/>
        </w:rPr>
        <w:t>determinism holds with the new columns</w:t>
      </w:r>
      <w:r>
        <w:t xml:space="preserve"> (identical reruns match). The </w:t>
      </w:r>
      <w:r>
        <w:rPr>
          <w:b/>
        </w:rPr>
        <w:t>critical-only</w:t>
      </w:r>
      <w:r>
        <w:t xml:space="preserve"> recycled share (copper excluded) runs *below* the critical-&amp;-growth figure (e.g. ~0.165 vs ~0.225 in the shocked run) — confirming that including copper, a UK *growth* mineral, modestly flatters the headline critical-mineral share, which is exactly why it is reported separately.</w:t>
      </w:r>
    </w:p>
    <w:p>
      <w:pPr>
        <w:pStyle w:val="Heading1"/>
      </w:pPr>
      <w:r>
        <w:t>Part 2 — Data used and assumptions</w:t>
      </w:r>
    </w:p>
    <w:p>
      <w:pPr>
        <w:pStyle w:val="Heading2"/>
      </w:pPr>
      <w:r>
        <w:t>2.1 The provenance system</w:t>
      </w:r>
    </w:p>
    <w:p>
      <w:r>
        <w:t xml:space="preserve">Every parameter carries a status in </w:t>
      </w:r>
      <w:r>
        <w:rPr>
          <w:rFonts w:ascii="Consolas" w:hAnsi="Consolas"/>
        </w:rPr>
        <w:t>model/data/data_register.csv</w:t>
      </w:r>
      <w:r>
        <w:t xml:space="preserve"> (~105 parameters):</w:t>
      </w:r>
    </w:p>
    <w:p>
      <w:r>
        <w:t xml:space="preserve">🟢 </w:t>
      </w:r>
      <w:r>
        <w:rPr>
          <w:b/>
        </w:rPr>
        <w:t>real</w:t>
      </w:r>
      <w:r>
        <w:t xml:space="preserve"> (sourced/audited) · 🟡 </w:t>
      </w:r>
      <w:r>
        <w:rPr>
          <w:b/>
        </w:rPr>
        <w:t>proxy</w:t>
      </w:r>
      <w:r>
        <w:t xml:space="preserve"> (desk/scaled) · 🔴 </w:t>
      </w:r>
      <w:r>
        <w:rPr>
          <w:b/>
        </w:rPr>
        <w:t>gap</w:t>
      </w:r>
      <w:r>
        <w:t xml:space="preserve"> (placeholder). The headline pattern is honest: </w:t>
      </w:r>
      <w:r>
        <w:rPr>
          <w:b/>
        </w:rPr>
        <w:t>the validation anchors and supply-concentration figures are real; most economic-structure and behavioural coefficients are proxy.</w:t>
      </w:r>
    </w:p>
    <w:p>
      <w:pPr>
        <w:pStyle w:val="Heading2"/>
      </w:pPr>
      <w:r>
        <w:t>2.2 Real anchors and control totals (used to validate / pin the model)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mining &amp; quarrying GVA (2018)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£108m (0.27% of NI GVA)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ONS Regional GVA / NISRA via Minviro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mining &amp; quarrying workers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1,950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NISRA BRES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total employee jobs (Sep 2023)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816,562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NISRA BRES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Minviro one-mine scenario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73 jobs / £7.3m output / £1.6m GVA p.a.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Minviro Final Report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Minviro two-mine (4b) scenario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430 jobs / £43m output / £9m GVA p.a.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Minviro Final Report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STPR (discount rate)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Green Book / NIGEAE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Mining cost of equity (WACC)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11.26%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Minviro (CAPM)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Vision 2035 targets (2035)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≥10% domestic / ≥20% recycling / ≤60% single-country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Vision 2035 (GOV.UK)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EU-CRMA targets (2030)</w:t>
            </w:r>
            <w:r>
              <w:rPr>
                <w:sz w:val="16"/>
              </w:rPr>
              <w:t xml:space="preserve"> — EU-stretch sensitivity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 xml:space="preserve">10% extraction / 40% processing / </w:t>
            </w:r>
            <w:r>
              <w:rPr>
                <w:b/>
                <w:sz w:val="16"/>
              </w:rPr>
              <w:t>25% recycling</w:t>
            </w:r>
            <w:r>
              <w:rPr>
                <w:sz w:val="16"/>
              </w:rPr>
              <w:t xml:space="preserve"> / ≤65% single third country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European Commission CRMA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NI median FT wage (2025)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£37,100/yr (£713/wk)</w:t>
            </w:r>
            <w:r>
              <w:rPr>
                <w:sz w:val="16"/>
              </w:rPr>
              <w:t xml:space="preserve"> — up from £34,632 (2024)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NISRA ASHE 2025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2023 single-country supply concentration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REE 74% China, Co 70% DRC, Li 44% Australia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BGS / Idoine et al. 2025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Top-three producer concentration (2024)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~86%</w:t>
            </w:r>
            <w:r>
              <w:rPr>
                <w:sz w:val="16"/>
              </w:rPr>
              <w:t xml:space="preserve"> for Cu/Li/Ni/Co/graphite/REE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IEA 2025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Refining concentration (2024)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 xml:space="preserve">China leads refining for </w:t>
            </w:r>
            <w:r>
              <w:rPr>
                <w:b/>
                <w:sz w:val="16"/>
              </w:rPr>
              <w:t>19 of 20</w:t>
            </w:r>
            <w:r>
              <w:rPr>
                <w:sz w:val="16"/>
              </w:rPr>
              <w:t xml:space="preserve"> strategic minerals (~70% avg)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IEA 2025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Export controls (2024)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 xml:space="preserve">affect </w:t>
            </w:r>
            <w:r>
              <w:rPr>
                <w:b/>
                <w:sz w:val="16"/>
              </w:rPr>
              <w:t>~55%</w:t>
            </w:r>
            <w:r>
              <w:rPr>
                <w:sz w:val="16"/>
              </w:rPr>
              <w:t xml:space="preserve"> of energy-related strategic minerals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IEA 2025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6"/>
              </w:rPr>
              <w:t>NI external trade (2024)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sales £109.3bn; exports £19.6bn; imports £11.2bn; surplus £8.4bn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NISRA NIETS 2024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UK metals exported for processing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~80%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GSNI/BGS OR25042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NI municipal recycling rate (2024/25)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50.4% (flat since 2019)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DAERA LAC municipal waste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Curraghinalt (Dalradian) resource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3.79 Moz Au M&amp;I (+Cu/Sb/Te/Bi/Co)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Dalradian 2021 feasibility study</w:t>
            </w:r>
          </w:p>
        </w:tc>
      </w:tr>
    </w:tbl>
    <w:p>
      <w:pPr>
        <w:pStyle w:val="Heading2"/>
      </w:pPr>
      <w:r>
        <w:t>2.3 Firm evidence (the ABM agents)</w:t>
      </w:r>
    </w:p>
    <w:p>
      <w:r>
        <w:rPr>
          <w:rFonts w:ascii="Consolas" w:hAnsi="Consolas"/>
        </w:rPr>
        <w:t>company_register.csv</w:t>
      </w:r>
      <w:r>
        <w:t xml:space="preserve"> holds 21 named NI operators — 13 web-verified, 8 desk-verified — each with role, district, lifecycle stage, employees, investment, capacity, and eight 0–1 scores (resource, capacity, feedstock, demand, local-procurement, planning-risk, skills, circularity) that drive agent behaviour. Derived aggregates: </w:t>
      </w:r>
      <w:r>
        <w:rPr>
          <w:b/>
        </w:rPr>
        <w:t>£1,164m</w:t>
      </w:r>
      <w:r>
        <w:t xml:space="preserve"> named-firm capital pipeline; </w:t>
      </w:r>
      <w:r>
        <w:rPr>
          <w:b/>
        </w:rPr>
        <w:t>400 tpa</w:t>
      </w:r>
      <w:r>
        <w:t xml:space="preserve"> installed REE-recovery capacity (Ionic). Firm scores are desk estimates and are the main *behavioural* calibration dependency (see §2.6).</w:t>
      </w:r>
    </w:p>
    <w:p>
      <w:pPr>
        <w:pStyle w:val="Heading2"/>
      </w:pPr>
      <w:r>
        <w:t>2.4 Strategy-grounded demand and support data</w:t>
      </w:r>
    </w:p>
    <w:p>
      <w:r>
        <w:rPr>
          <w:b/>
        </w:rPr>
        <w:t>Demand has two layers.</w:t>
      </w:r>
      <w:r>
        <w:t xml:space="preserve"> The </w:t>
      </w:r>
      <w:r>
        <w:rPr>
          <w:b/>
        </w:rPr>
        <w:t>demand-supply strategy experiment</w:t>
      </w:r>
      <w:r>
        <w:t xml:space="preserve"> (</w:t>
      </w:r>
      <w:r>
        <w:rPr>
          <w:rFonts w:ascii="Consolas" w:hAnsi="Consolas"/>
        </w:rPr>
        <w:t>q_demand_supply_strategy.py</w:t>
      </w:r>
      <w:r>
        <w:t xml:space="preserve">) is anchored to the </w:t>
      </w:r>
      <w:r>
        <w:rPr>
          <w:b/>
        </w:rPr>
        <w:t>Vision 2035 Technical Annex (Annex 2) 2035 cumulative-demand tonnages</w:t>
      </w:r>
      <w:r>
        <w:t xml:space="preserve">. The seven core Q2 experiments use the shared </w:t>
      </w:r>
      <w:r>
        <w:rPr>
          <w:rFonts w:ascii="Consolas" w:hAnsi="Consolas"/>
        </w:rPr>
        <w:t>GREEN_DEMAND</w:t>
      </w:r>
      <w:r>
        <w:t xml:space="preserve"> policy-growth path (</w:t>
      </w:r>
      <w:r>
        <w:rPr>
          <w:rFonts w:ascii="Consolas" w:hAnsi="Consolas"/>
        </w:rPr>
        <w:t>DEMAND_GROWTH_EV</w:t>
      </w:r>
      <w:r>
        <w:t xml:space="preserve">, </w:t>
      </w:r>
      <w:r>
        <w:rPr>
          <w:rFonts w:ascii="Consolas" w:hAnsi="Consolas"/>
        </w:rPr>
        <w:t>DEMAND_GROWTH_WIND</w:t>
      </w:r>
      <w:r>
        <w:t>, plus conservative metal-specific proxy growth rates) unless otherwise stated. The annex's cumulative UK demand at 2024/27/30/35 is differenced to annual increments and converted to a CAGR, cross-checked against IEA net-zero: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Mineral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2035 cumulative demand (UK, t)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Annex-derived annual CAGR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IEA cross-check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Aluminium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8,003,000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9.3%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Copper *(growth mineral)*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3,619,000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~2× by 2040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Nickel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867,200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10.8%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~2× by 2040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Lithium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339,200 (LCE)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26.5%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~9× by 2040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Cobalt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163,000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9.2%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~2× by 2040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REE_magnet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37,940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8.8%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~2× by 2040</w:t>
            </w:r>
          </w:p>
        </w:tc>
      </w:tr>
    </w:tbl>
    <w:p>
      <w:pPr>
        <w:pStyle w:val="IntenseQuote"/>
      </w:pPr>
      <w:r>
        <w:rPr>
          <w:b/>
        </w:rPr>
        <w:t>Critical vs growth minerals.</w:t>
      </w:r>
      <w:r>
        <w:t xml:space="preserve"> Per the Vision 2035 annex, </w:t>
      </w:r>
      <w:r>
        <w:rPr>
          <w:b/>
        </w:rPr>
        <w:t>copper is a UK *growth* mineral</w:t>
      </w:r>
      <w:r>
        <w:t xml:space="preserve"> (fundamental to advanced manufacturing &amp; clean energy), </w:t>
      </w:r>
      <w:r>
        <w:rPr>
          <w:b/>
        </w:rPr>
        <w:t>not</w:t>
      </w:r>
      <w:r>
        <w:t xml:space="preserve"> a current UK *critical* mineral. The model keeps copper inside the supply-security aggregates (it is strategically central to NI) but flags it, so the basket is reported as </w:t>
      </w:r>
      <w:r>
        <w:rPr>
          <w:b/>
        </w:rPr>
        <w:t>"critical &amp; growth minerals"</w:t>
      </w:r>
      <w:r>
        <w:t xml:space="preserve"> and copper's relatively secure, well-diversified supply does not overstate the *critical*-mineral domestic/recycled share.</w:t>
      </w:r>
    </w:p>
    <w:p>
      <w:r>
        <w:rPr>
          <w:b/>
        </w:rPr>
        <w:t>Support-mechanism evidence (used to design and cost the Q2.3/Q2.4 levers):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Strategic-stockpile targets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Japan 60–180 days, Korea 100 days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IEA; CSEP 2025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FOAK cost-share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20% prototype / 50% pilot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 DOE Critical Minerals Accelerator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Blended-finance fund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US$500m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US–Australia Critical Minerals Partnership Fund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Offtake + price floor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10-yr / $110/kg NdPr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 DoD–MP Materials (CSIS 2025)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EU CRMA strategic-project permits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15-mo processing / 27-mo extraction + finance + offtake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European Commission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Lever public costs (NI-scale)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CLIMATES £15m, ReLiB £34m, DBT £50m, DEFRA DRS £632m setup / £1.065bn/yr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Innovate UK / DEFRA / DfE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Japan post-2010 diversification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China REE dependence ~90%→~58% (JOGMEC $250m Sojitz–Lynas deal)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CNBC; WEF; IEA</w:t>
            </w:r>
          </w:p>
        </w:tc>
      </w:tr>
    </w:tbl>
    <w:p>
      <w:pPr>
        <w:pStyle w:val="Heading2"/>
      </w:pPr>
      <w:r>
        <w:t>2.5 Key calibrated parameters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DOMESTIC_INTENSITY</w:t>
            </w:r>
            <w:r>
              <w:rPr>
                <w:sz w:val="16"/>
              </w:rPr>
              <w:t xml:space="preserve"> (A-matrix scaling)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0.62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 (import leakage of a small open region)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GVA_COEFF</w:t>
            </w:r>
            <w:r>
              <w:rPr>
                <w:sz w:val="16"/>
              </w:rPr>
              <w:t xml:space="preserve"> (mining)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proxy, tuned to Minviro direct-GVA anchors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6"/>
              </w:rPr>
              <w:t>EMP_COEFF</w:t>
            </w:r>
            <w:r>
              <w:rPr>
                <w:sz w:val="16"/>
              </w:rPr>
              <w:t xml:space="preserve"> (mining)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11.5 jobs/£m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proxy, anchored to 1,950 jobs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Recovery yields REE / Li / Cu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0.85 / 0.50 / 0.90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desk-verified (Met4Tech, ReLiB, Ionic)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WEEE collection baseline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desk-verified (UN Global E-waste Monitor)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Concentration REE / Co / Li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0.74 / 0.70 / 0.44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real</w:t>
            </w:r>
            <w:r>
              <w:rPr>
                <w:sz w:val="16"/>
              </w:rPr>
              <w:t xml:space="preserve"> (BGS/Idoine 2025)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Dev hurdle / social-licence floor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0.45 / 0.40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proxy</w:t>
            </w:r>
            <w:r>
              <w:rPr>
                <w:sz w:val="16"/>
              </w:rPr>
              <w:t xml:space="preserve"> behavioural thresholds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CES elasticities σ(Armington)/σ(export)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2.0 / 2.0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proxy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Stockpile depth / release rate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 demand-yr (~180 d) / 0.30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calibrated to JOGMEC/KOMIR</w:t>
            </w:r>
          </w:p>
        </w:tc>
      </w:tr>
    </w:tbl>
    <w:p>
      <w:pPr>
        <w:pStyle w:val="Heading2"/>
      </w:pPr>
      <w:r>
        <w:t>2.6 Assumptions made about the data, and limitations</w:t>
      </w:r>
    </w:p>
    <w:p>
      <w:r>
        <w:t xml:space="preserve">The biggest assumptions are deliberately surfaced (full list in </w:t>
      </w:r>
      <w:r>
        <w:rPr>
          <w:rFonts w:ascii="Consolas" w:hAnsi="Consolas"/>
        </w:rPr>
        <w:t>TECHNICAL_DOCUMENTATION.md</w:t>
      </w:r>
      <w:r>
        <w:t xml:space="preserve"> §8):</w:t>
      </w:r>
    </w:p>
    <w:p>
      <w:pPr>
        <w:pStyle w:val="ListNumber"/>
      </w:pPr>
      <w:r>
        <w:rPr>
          <w:b/>
        </w:rPr>
        <w:t>The I-O coefficient matrix is proxy</w:t>
      </w:r>
      <w:r>
        <w:t>, not a regionalised NI table — scaled for high import leakage and tuned to the Minviro anchors. *This is the single biggest calibration dependency.* (Replace with NISRA Supply-Use + Scottish 2017 I-O via FLQ + RAS.)</w:t>
      </w:r>
    </w:p>
    <w:p>
      <w:pPr>
        <w:pStyle w:val="ListNumber"/>
      </w:pPr>
      <w:r>
        <w:rPr>
          <w:b/>
        </w:rPr>
        <w:t>The SAM structure is proxy</w:t>
      </w:r>
      <w:r>
        <w:t xml:space="preserve"> (only mining GVA is a real anchor); the CGE is a compact reduced form with proxy elasticities.</w:t>
      </w:r>
    </w:p>
    <w:p>
      <w:pPr>
        <w:pStyle w:val="ListNumber"/>
      </w:pPr>
      <w:r>
        <w:rPr>
          <w:b/>
        </w:rPr>
        <w:t>MFA stock-flow seeds are UK data scaled to NI</w:t>
      </w:r>
      <w:r>
        <w:t xml:space="preserve"> — NI-level critical-mineral waste flows are a known gap. Commodity prices are indicative.</w:t>
      </w:r>
    </w:p>
    <w:p>
      <w:pPr>
        <w:pStyle w:val="ListNumber"/>
      </w:pPr>
      <w:r>
        <w:rPr>
          <w:b/>
        </w:rPr>
        <w:t>Behavioural thresholds</w:t>
      </w:r>
      <w:r>
        <w:t xml:space="preserve"> (dev hurdle, social-licence floor, risk→delay, lever→effect coefficients) are </w:t>
      </w:r>
      <w:r>
        <w:rPr>
          <w:b/>
        </w:rPr>
        <w:t>proxy</w:t>
      </w:r>
      <w:r>
        <w:t xml:space="preserve"> and determine which marginal projects open — the first thing to calibrate with planning/licensing records and a firm survey.</w:t>
      </w:r>
    </w:p>
    <w:p>
      <w:pPr>
        <w:pStyle w:val="ListNumber"/>
      </w:pPr>
      <w:r>
        <w:rPr>
          <w:b/>
        </w:rPr>
        <w:t>Demand CAGRs are UK-national, scaled uniformly to NI's base</w:t>
      </w:r>
      <w:r>
        <w:t>; the annex is read as *cumulative* demand (well-supported but not stated outright in the PDF).</w:t>
      </w:r>
    </w:p>
    <w:p>
      <w:pPr>
        <w:pStyle w:val="ListNumber"/>
      </w:pPr>
      <w:r>
        <w:rPr>
          <w:b/>
        </w:rPr>
        <w:t>Public costs / ROI</w:t>
      </w:r>
      <w:r>
        <w:t xml:space="preserve"> are NI-scale figures benchmarked to UK programmes by population, used only for *relative* ranking — not budget lines (a ±cost band is carried for sensitivity).</w:t>
      </w:r>
    </w:p>
    <w:p>
      <w:pPr>
        <w:pStyle w:val="ListNumber"/>
      </w:pPr>
      <w:r>
        <w:rPr>
          <w:b/>
        </w:rPr>
        <w:t>Environmental satellites</w:t>
      </w:r>
      <w:r>
        <w:t xml:space="preserve"> (CO₂, PM) are proxy and remain tracked in the I-O outputs. Q2.7 is now an </w:t>
      </w:r>
      <w:r>
        <w:rPr>
          <w:b/>
        </w:rPr>
        <w:t>economic-negative-impact</w:t>
      </w:r>
      <w:r>
        <w:t xml:space="preserve"> layer; its leakage, closure, displacement, volatility and stranded-capital parameters are proxy/desk values. The model does </w:t>
      </w:r>
      <w:r>
        <w:rPr>
          <w:b/>
        </w:rPr>
        <w:t>not</w:t>
      </w:r>
      <w:r>
        <w:t xml:space="preserve"> do site-specific EIA.</w:t>
      </w:r>
    </w:p>
    <w:p>
      <w:pPr>
        <w:pStyle w:val="IntenseQuote"/>
      </w:pPr>
      <w:r>
        <w:t xml:space="preserve">The honest bottom line: the model's </w:t>
      </w:r>
      <w:r>
        <w:rPr>
          <w:b/>
        </w:rPr>
        <w:t>structure, internal consistency and direction of travel are robust and validated</w:t>
      </w:r>
      <w:r>
        <w:t xml:space="preserve">; the </w:t>
      </w:r>
      <w:r>
        <w:rPr>
          <w:b/>
        </w:rPr>
        <w:t>absolute magnitudes are illustrative</w:t>
      </w:r>
      <w:r>
        <w:t xml:space="preserve"> until the proxy economic/behavioural layer is replaced with collected NI data.</w:t>
      </w:r>
    </w:p>
    <w:p>
      <w:pPr>
        <w:pStyle w:val="Heading1"/>
      </w:pPr>
      <w:r>
        <w:t>Part 3 — Answers to the seven consultation questions</w:t>
      </w:r>
    </w:p>
    <w:p>
      <w:r>
        <w:t xml:space="preserve">Each question below gives: </w:t>
      </w:r>
      <w:r>
        <w:rPr>
          <w:b/>
        </w:rPr>
        <w:t>(i)</w:t>
      </w:r>
      <w:r>
        <w:t xml:space="preserve"> the experiment logic, </w:t>
      </w:r>
      <w:r>
        <w:rPr>
          <w:b/>
        </w:rPr>
        <w:t>(ii)</w:t>
      </w:r>
      <w:r>
        <w:t xml:space="preserve"> the data used, </w:t>
      </w:r>
      <w:r>
        <w:rPr>
          <w:b/>
        </w:rPr>
        <w:t>(iii)</w:t>
      </w:r>
      <w:r>
        <w:t xml:space="preserve"> the results (table/figure), and </w:t>
      </w:r>
      <w:r>
        <w:rPr>
          <w:b/>
        </w:rPr>
        <w:t>(iv)</w:t>
      </w:r>
      <w:r>
        <w:t xml:space="preserve"> how the results produce the answer. All scripts write CSVs + a findings memo to </w:t>
      </w:r>
      <w:r>
        <w:rPr>
          <w:rFonts w:ascii="Consolas" w:hAnsi="Consolas"/>
        </w:rPr>
        <w:t>model/outputs/</w:t>
      </w:r>
      <w:r>
        <w:t xml:space="preserve"> and appear as tabs in the Streamlit dashboard.</w:t>
      </w:r>
    </w:p>
    <w:p>
      <w:pPr>
        <w:pStyle w:val="Heading2"/>
      </w:pPr>
      <w:r>
        <w:t>Q2.1 — How can the Department support innovation for circularity?</w:t>
      </w:r>
    </w:p>
    <w:p>
      <w:r>
        <w:rPr>
          <w:b/>
        </w:rPr>
        <w:t>(i) Experiment logic.</w:t>
      </w:r>
      <w:r>
        <w:t xml:space="preserve"> Seven candidate interventions (materials-recovery capital, a circular-innovation R&amp;D fund, smart collection/DRS, secondary-market offtake, ecodesign standards, a green-skills cluster, and the full package) are mapped onto the firm-grounded ABM and run individually and combined over 30 years. Each is ranked on recycled-share lift, recycling GVA/jobs, circular-design uptake, and </w:t>
      </w:r>
      <w:r>
        <w:rPr>
          <w:b/>
        </w:rPr>
        <w:t>GVA-ROI with a cost-uncertainty band</w:t>
      </w:r>
      <w:r>
        <w:t>.</w:t>
      </w:r>
    </w:p>
    <w:p>
      <w:r>
        <w:rPr>
          <w:b/>
        </w:rPr>
        <w:t>(ii) Data used.</w:t>
      </w:r>
      <w:r>
        <w:t xml:space="preserve"> Recovery yields (Met4Tech/ReLiB/Ionic), WEEE collection baseline 0.25 (UN E-waste Monitor), the UK Deposit-Return-Scheme uplift (container return 70–75%→&gt;90%) to calibrate the collection lever, and NI-scale lever costs benchmarked to CLIMATES (£15m), ReLiB (£34m), DBT (£50m) and the DEFRA DRS impact assessment.</w:t>
      </w:r>
    </w:p>
    <w:p>
      <w:r>
        <w:rPr>
          <w:b/>
        </w:rPr>
        <w:t>(iii) Results.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Intervention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Δ recycled share (pp)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Δ cum. GVA (£m)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Recycling jobs (end)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GVA-ROI (low–central–high)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Materials-recovery capital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0.0–0.01–0.01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Circular-innovation fund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0.0–0.01–0.01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Smart collection / DRS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+6.3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+244.9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814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0.57–</w:t>
            </w:r>
            <w:r>
              <w:rPr>
                <w:b/>
                <w:sz w:val="16"/>
              </w:rPr>
              <w:t>1.26</w:t>
            </w:r>
            <w:r>
              <w:rPr>
                <w:sz w:val="16"/>
              </w:rPr>
              <w:t>–2.30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Secondary-market offtake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0.0–0.01–0.02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Ecodesign standards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+2.3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+92.5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1.10–</w:t>
            </w:r>
            <w:r>
              <w:rPr>
                <w:b/>
                <w:sz w:val="16"/>
              </w:rPr>
              <w:t>2.21</w:t>
            </w:r>
            <w:r>
              <w:rPr>
                <w:sz w:val="16"/>
              </w:rPr>
              <w:t>–4.43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Green-skills cluster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Integrated package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+6.3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+246.1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0.28–0.56–1.04</w:t>
            </w:r>
          </w:p>
        </w:tc>
      </w:tr>
    </w:tbl>
    <w:p>
      <w:r>
        <w:rPr>
          <w:b/>
        </w:rPr>
        <w:t>(iv) How this leads to the answer.</w:t>
      </w:r>
      <w:r>
        <w:t xml:space="preserve"> Two robust results emerge: </w:t>
      </w:r>
      <w:r>
        <w:rPr>
          <w:b/>
        </w:rPr>
        <w:t>in the near-term Q2.1 intervention test, collection/feedstock is the binding constraint</w:t>
      </w:r>
      <w:r>
        <w:t xml:space="preserve"> — smart collection/DRS is the *only* single lever that reaches the Vision-2035 20% recycling target (subsidising recovery *plant* alone moves little because NI's immediate gap is feedstock); and </w:t>
      </w:r>
      <w:r>
        <w:rPr>
          <w:b/>
        </w:rPr>
        <w:t>ecodesign standards are the best value for money</w:t>
      </w:r>
      <w:r>
        <w:t xml:space="preserve"> (~2.2× GVA per £, robust across the whole cost band, because they are mostly regulatory). This does </w:t>
      </w:r>
      <w:r>
        <w:rPr>
          <w:b/>
        </w:rPr>
        <w:t>not</w:t>
      </w:r>
      <w:r>
        <w:t xml:space="preserve"> mean processing capacity is unimportant: the cross-cutting capacity audit shows no NI lithium, cobalt, nickel, copper or aluminium processing capacity, so processing becomes a binding midstream gap as demand scales. The </w:t>
      </w:r>
      <w:r>
        <w:rPr>
          <w:b/>
        </w:rPr>
        <w:t>mix beats any single lever</w:t>
      </w:r>
      <w:r>
        <w:t xml:space="preserve">. </w:t>
      </w:r>
      <w:r>
        <w:rPr>
          <w:b/>
        </w:rPr>
        <w:t>Sequencing:</w:t>
      </w:r>
      <w:r>
        <w:t xml:space="preserve"> *now* — recycled-content procurement + design standards + product passports (cheap, high return); *then* — a Circular Innovation Fund and collection/DRS to unblock feedstock; *then scale* — processing/recovery capacity for battery metals and growth minerals. </w:t>
      </w:r>
      <w:r>
        <w:rPr>
          <w:b/>
        </w:rPr>
        <w:t>Against the stricter EU-CRMA 25% (2030) recycling stretch</w:t>
      </w:r>
      <w:r>
        <w:t xml:space="preserve"> — relevant if NI serves the EU market under the Windsor Framework — no single lever qualifies, reinforcing that the EU benchmark requires the full circular build-out.</w:t>
      </w:r>
    </w:p>
    <w:p>
      <w:pPr>
        <w:pStyle w:val="Heading2"/>
      </w:pPr>
      <w:r>
        <w:t>Q2.2 — Key opportunities and challenges for sustainable development</w:t>
      </w:r>
    </w:p>
    <w:p>
      <w:r>
        <w:rPr>
          <w:b/>
        </w:rPr>
        <w:t>(i) Experiment logic.</w:t>
      </w:r>
      <w:r>
        <w:t xml:space="preserve"> A mineral-by-mineral opportunity score (demand pull, domestic geology, circular potential, strategic value, economic value) from the register + MFA; then </w:t>
      </w:r>
      <w:r>
        <w:rPr>
          <w:b/>
        </w:rPr>
        <w:t>constraint-relaxation scenarios</w:t>
      </w:r>
      <w:r>
        <w:t xml:space="preserve"> that relax one barrier at a time (permitting, finance, community/social-licence, skills, energy) to find the *binding* constraint.</w:t>
      </w:r>
    </w:p>
    <w:p>
      <w:r>
        <w:rPr>
          <w:b/>
        </w:rPr>
        <w:t>(ii) Data used.</w:t>
      </w:r>
      <w:r>
        <w:t xml:space="preserve"> Firm register scores, GSNI/BGS geology (Curraghinalt 3.79 Moz Au + Sb/Te/Co; Mourne REE potential), import-dependence from the MFA, and BGS/Idoine concentration.</w:t>
      </w:r>
    </w:p>
    <w:p>
      <w:r>
        <w:rPr>
          <w:b/>
        </w:rPr>
        <w:t>(iii) Results — what unlocks development: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Constraint relaxed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Mines opened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Δ cum. GVA (£m)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Project unlocked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Faster permitting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Finance (NWF/UKEF)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+1.7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Baryte (geological-potential)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Skills availability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Energy competitiveness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6"/>
              </w:rPr>
              <w:t>Community benefit / social licence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+208.1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Dalradian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All enablers together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+226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Dalradian + Baryte</w:t>
            </w:r>
          </w:p>
        </w:tc>
      </w:tr>
    </w:tbl>
    <w:p>
      <w:r>
        <w:t xml:space="preserve">Top opportunity-ranked minerals: REE_magnet (0.62, recycling), </w:t>
      </w:r>
      <w:r>
        <w:rPr>
          <w:b/>
        </w:rPr>
        <w:t>Copper (0.60, *growth* mineral, primary+recycling)</w:t>
      </w:r>
      <w:r>
        <w:t xml:space="preserve">, Lithium (0.55), Cobalt (0.49), Aluminium (0.45) — the opportunities are overwhelmingly </w:t>
      </w:r>
      <w:r>
        <w:rPr>
          <w:b/>
        </w:rPr>
        <w:t>circular</w:t>
      </w:r>
      <w:r>
        <w:t xml:space="preserve">. Per the Vision 2035 annex, copper is a UK </w:t>
      </w:r>
      <w:r>
        <w:rPr>
          <w:b/>
        </w:rPr>
        <w:t>growth</w:t>
      </w:r>
      <w:r>
        <w:t xml:space="preserve"> mineral (not on the critical list), so this basket is read as </w:t>
      </w:r>
      <w:r>
        <w:rPr>
          <w:b/>
        </w:rPr>
        <w:t>"critical &amp; growth minerals"</w:t>
      </w:r>
      <w:r>
        <w:t>; copper's strong rank reflects industrial-resilience value rather than critical-supply scarcity.</w:t>
      </w:r>
    </w:p>
    <w:p>
      <w:r>
        <w:rPr>
          <w:b/>
        </w:rPr>
        <w:t>(iv) How this leads to the answer.</w:t>
      </w:r>
      <w:r>
        <w:t xml:space="preserve"> The </w:t>
      </w:r>
      <w:r>
        <w:rPr>
          <w:b/>
        </w:rPr>
        <w:t>binding challenge is social licence, not economics</w:t>
      </w:r>
      <w:r>
        <w:t xml:space="preserve">: NI's best deposit clears the commercial hurdle but is blocked by community opposition, and a credible </w:t>
      </w:r>
      <w:r>
        <w:rPr>
          <w:b/>
        </w:rPr>
        <w:t>community-benefit package is the only lever that brings it forward</w:t>
      </w:r>
      <w:r>
        <w:t xml:space="preserve"> — worth roughly *ten times* finance, permitting or skills support alone (+£208m GVA, ~+600 jobs). Opportunities are led by the </w:t>
      </w:r>
      <w:r>
        <w:rPr>
          <w:b/>
        </w:rPr>
        <w:t>circular pathway</w:t>
      </w:r>
      <w:r>
        <w:t xml:space="preserve"> (NI has little domestic critical-mineral geology), so critical-mineral security is mainly a recycling story. Bulk minerals (baryte, salt, aggregates) are the low-friction near-term opportunity.</w:t>
      </w:r>
    </w:p>
    <w:p>
      <w:pPr>
        <w:pStyle w:val="Heading2"/>
      </w:pPr>
      <w:r>
        <w:t>Q2.3 — What support do businesses need to participate?</w:t>
      </w:r>
    </w:p>
    <w:p>
      <w:r>
        <w:rPr>
          <w:b/>
        </w:rPr>
        <w:t>(i) Experiment logic.</w:t>
      </w:r>
      <w:r>
        <w:t xml:space="preserve"> Vision 2035 warns supply chains are "vulnerable to shocks such as … war or geopolitical fallout". We model a </w:t>
      </w:r>
      <w:r>
        <w:rPr>
          <w:b/>
        </w:rPr>
        <w:t>dominant-supplier loss</w:t>
      </w:r>
      <w:r>
        <w:t xml:space="preserve"> (per-mineral import caps = 1 − single-country share) + a price spike, map firms to supply-chain stages, and read outcomes by stage; then sweep </w:t>
      </w:r>
      <w:r>
        <w:rPr>
          <w:b/>
        </w:rPr>
        <w:t>shock severity</w:t>
      </w:r>
      <w:r>
        <w:t xml:space="preserve"> (½× → 1.5× of the dominant supplier lost) and test a </w:t>
      </w:r>
      <w:r>
        <w:rPr>
          <w:b/>
        </w:rPr>
        <w:t>finite, depleting strategic stockpile</w:t>
      </w:r>
      <w:r>
        <w:t>.</w:t>
      </w:r>
    </w:p>
    <w:p>
      <w:r>
        <w:rPr>
          <w:b/>
        </w:rPr>
        <w:t>(ii) Data used.</w:t>
      </w:r>
      <w:r>
        <w:t xml:space="preserve"> 2023 concentration (REE 74%/Co 70%/Li 44%, BGS/Idoine); named support instruments (NWF/UKEF, BICS, FOAK cost-share, offtake+price-floor, DRS); stockpile sized to JOGMEC/KOMIR (60–180/100 days).</w:t>
      </w:r>
    </w:p>
    <w:p>
      <w:r>
        <w:rPr>
          <w:b/>
        </w:rPr>
        <w:t>(iii) Results — support package under the shock: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Early-5yr gap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End gap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Recycled share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Total jobs (end)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Δ jobs vs unsupported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No shock, no support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0.147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1,148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+78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Shock, no support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0.051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1,069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+ Upstream support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0.051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0.155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1,687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+618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+ Midstream support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0.136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0.204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1,421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+351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+ Downstream support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0.051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1,069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−0.4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+ Enabling (stockpile)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0.038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1,069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−0.2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+ Full cross-chain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0.013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0.112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0.204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2,039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+969</w:t>
            </w:r>
          </w:p>
        </w:tc>
      </w:tr>
    </w:tbl>
    <w:p>
      <w:r>
        <w:t xml:space="preserve">The shock is acutely </w:t>
      </w:r>
      <w:r>
        <w:rPr>
          <w:b/>
        </w:rPr>
        <w:t>mineral-specific</w:t>
      </w:r>
      <w:r>
        <w:t>: per-mineral unmet gap = REE 73%, Antimony 70%, Cobalt 69%, Lithium 43%, Nickel 27%, Aluminium 19%, Copper 12%.</w:t>
      </w:r>
    </w:p>
    <w:p>
      <w:r>
        <w:rPr>
          <w:b/>
        </w:rPr>
        <w:t>(iv) How this leads to the answer.</w:t>
      </w:r>
      <w:r>
        <w:t xml:space="preserve"> Support must be </w:t>
      </w:r>
      <w:r>
        <w:rPr>
          <w:b/>
        </w:rPr>
        <w:t>sequenced and stage-specific</w:t>
      </w:r>
      <w:r>
        <w:t xml:space="preserve">. *Downstream support alone barely moves the dial* — manufacturers cannot buy recycled content that does not yet exist — so it must follow midstream investment. The participation barrier is the </w:t>
      </w:r>
      <w:r>
        <w:rPr>
          <w:b/>
        </w:rPr>
        <w:t>pilot-to-commercial "valley of death"</w:t>
      </w:r>
      <w:r>
        <w:t xml:space="preserve"> (exactly Ionic's position); the evidence-based unlocks are </w:t>
      </w:r>
      <w:r>
        <w:rPr>
          <w:b/>
        </w:rPr>
        <w:t>FOAK capital with cost-share + blended finance</w:t>
      </w:r>
      <w:r>
        <w:t xml:space="preserve"> and </w:t>
      </w:r>
      <w:r>
        <w:rPr>
          <w:b/>
        </w:rPr>
        <w:t>long-term offtake with a price floor</w:t>
      </w:r>
      <w:r>
        <w:t xml:space="preserve"> (cf. DoD–MP Materials). The </w:t>
      </w:r>
      <w:r>
        <w:rPr>
          <w:b/>
        </w:rPr>
        <w:t>stockpile is a thin bridge, not a fix</w:t>
      </w:r>
      <w:r>
        <w:t xml:space="preserve"> — it only trims the early gap, then depletes. A single </w:t>
      </w:r>
      <w:r>
        <w:rPr>
          <w:b/>
        </w:rPr>
        <w:t>"strategic project" front door</w:t>
      </w:r>
      <w:r>
        <w:t xml:space="preserve"> (EU CRMA via Windsor + UK NWF/UKEF/BICS) lowers the cost of participating.</w:t>
      </w:r>
    </w:p>
    <w:p>
      <w:pPr>
        <w:pStyle w:val="Heading2"/>
      </w:pPr>
      <w:r>
        <w:t>Q2.4 — What role should government have in securing supply?</w:t>
      </w:r>
    </w:p>
    <w:p>
      <w:r>
        <w:rPr>
          <w:b/>
        </w:rPr>
        <w:t>(i) Experiment logic.</w:t>
      </w:r>
      <w:r>
        <w:t xml:space="preserve"> Five government </w:t>
      </w:r>
      <w:r>
        <w:rPr>
          <w:b/>
        </w:rPr>
        <w:t>postures</w:t>
      </w:r>
      <w:r>
        <w:t xml:space="preserve"> (light-touch, diversify-&amp;-insure, domestic-autonomy, circular-leader, strategic-coordinator) are tested against an escalating dominant-supplier </w:t>
      </w:r>
      <w:r>
        <w:rPr>
          <w:b/>
        </w:rPr>
        <w:t>export ban</w:t>
      </w:r>
      <w:r>
        <w:t xml:space="preserve"> *and* a </w:t>
      </w:r>
      <w:r>
        <w:rPr>
          <w:b/>
        </w:rPr>
        <w:t>Monte-Carlo of 120 uncertain shocks</w:t>
      </w:r>
      <w:r>
        <w:t xml:space="preserve"> (random onset, minerals ∝ concentration, severity). Metrics: the Vision-2035 targets, an HHI-style supply-risk index, and the unmet-demand gap distribution.</w:t>
      </w:r>
    </w:p>
    <w:p>
      <w:r>
        <w:rPr>
          <w:b/>
        </w:rPr>
        <w:t>(ii) Data used.</w:t>
      </w:r>
      <w:r>
        <w:t xml:space="preserve"> Concentration (BGS/Idoine); Vision 2035 / EU CRMA targets; real-world effectiveness evidence — </w:t>
      </w:r>
      <w:r>
        <w:rPr>
          <w:b/>
        </w:rPr>
        <w:t>Japan's post-2010 diversification</w:t>
      </w:r>
      <w:r>
        <w:t xml:space="preserve"> (China REE dependence ~90%→~58% via stockpiling + JOGMEC equity/offtake + recycling) as a validated natural experiment.</w:t>
      </w:r>
    </w:p>
    <w:p>
      <w:r>
        <w:rPr>
          <w:b/>
        </w:rPr>
        <w:t>(iii) Results — resilience under uncertainty (Monte-Carlo):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Mean gap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p90 gap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Worst gap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Single-country exposure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Public cost (£m)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Market / light-touch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0.262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Diversify &amp; insure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Domestic autonomy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Circular leader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0.185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354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Strategic coordinator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0.034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0.079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0.159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0.427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516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upply_secu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 Critical-&amp;-growth-mineral supply security in the integrated scenario (Q2.4): recycled share improves toward the Vision-2035 recycling target while domestic share remains well below the 10% target and maximum single-country exposure falls but remains above the 60% target in normal conditions.</w:t>
      </w:r>
    </w:p>
    <w:p>
      <w:r>
        <w:rPr>
          <w:b/>
        </w:rPr>
        <w:t>Beyond single-country: the IEA-2025 midstream-risk view.</w:t>
      </w:r>
      <w:r>
        <w:t xml:space="preserve"> The IEA finds the binding risk is now </w:t>
      </w:r>
      <w:r>
        <w:rPr>
          <w:b/>
        </w:rPr>
        <w:t>top-three</w:t>
      </w:r>
      <w:r>
        <w:t xml:space="preserve"> mine concentration (rose to ~86% in 2024) and </w:t>
      </w:r>
      <w:r>
        <w:rPr>
          <w:b/>
        </w:rPr>
        <w:t>refining</w:t>
      </w:r>
      <w:r>
        <w:t xml:space="preserve"> concentration (China refines 19 of 20 strategic minerals). The model adds both indices; under the export-ban shock (lower = safer):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Single-country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Top-3 (mine)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Refining (midstream)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Market / light-touch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0.246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Diversify &amp; insure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0.158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0.423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0.355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Strategic coordinator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0.180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0.444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0.337</w:t>
            </w:r>
          </w:p>
        </w:tc>
      </w:tr>
    </w:tbl>
    <w:p>
      <w:r>
        <w:t xml:space="preserve">The contrast is the key insight: </w:t>
      </w:r>
      <w:r>
        <w:rPr>
          <w:b/>
        </w:rPr>
        <w:t>import diversification cuts single-country and partly top-three exposure, but barely touches refining exposure</w:t>
      </w:r>
      <w:r>
        <w:t xml:space="preserve"> — which only falls when NI builds its own recovery/processing capacity (the coordinator and circular roles). The security problem is *midstream*, so the answer must include capacity, not just diversification. (Export-controlled minerals — REE, antimony, cobalt — are flagged but tiny by tonnage, so a tonnage view understates their strategic weight.)</w:t>
      </w:r>
    </w:p>
    <w:p>
      <w:r>
        <w:rPr>
          <w:b/>
        </w:rPr>
        <w:t>(iv) How this leads to the answer.</w:t>
      </w:r>
      <w:r>
        <w:t xml:space="preserve"> </w:t>
      </w:r>
      <w:r>
        <w:rPr>
          <w:b/>
        </w:rPr>
        <w:t>Light-touch fails the security test</w:t>
      </w:r>
      <w:r>
        <w:t xml:space="preserve"> (highest tail risk; security is a public good the market under-provides — confirmed by the IEA observation that critical minerals are *concentrating*, not diversifying). </w:t>
      </w:r>
      <w:r>
        <w:rPr>
          <w:b/>
        </w:rPr>
        <w:t>No single instrument is enough</w:t>
      </w:r>
      <w:r>
        <w:t xml:space="preserve">, and single-country exposure alone *understates* the risk (top-three and refining are far higher). A balanced </w:t>
      </w:r>
      <w:r>
        <w:rPr>
          <w:b/>
        </w:rPr>
        <w:t>strategic-coordinator</w:t>
      </w:r>
      <w:r>
        <w:t xml:space="preserve"> posture is the most robust — it roughly </w:t>
      </w:r>
      <w:r>
        <w:rPr>
          <w:b/>
        </w:rPr>
        <w:t>halves the 90th-percentile gap vs light-touch</w:t>
      </w:r>
      <w:r>
        <w:t xml:space="preserve">, improves all three Vision-2035 indicators while adding GVA, and is the only one (with circular-leader) that lowers *refining* exposure. It should be read as </w:t>
      </w:r>
      <w:r>
        <w:rPr>
          <w:b/>
        </w:rPr>
        <w:t>closest/most robust</w:t>
      </w:r>
      <w:r>
        <w:t xml:space="preserve">, not fully target-compliant in every state: domestic share remains below 10%, stable single-country exposure sits just above the 60% threshold after rounding, and some recycled-share results sit just under 20%. The role is an active </w:t>
      </w:r>
      <w:r>
        <w:rPr>
          <w:b/>
        </w:rPr>
        <w:t>coordinator/insurer</w:t>
      </w:r>
      <w:r>
        <w:t xml:space="preserve"> (set targets; de-risk midstream; fix collection; diversify + hold a thin reserve; uphold high-ESG terms) — exactly the posture Japan used successfully. Against the stricter </w:t>
      </w:r>
      <w:r>
        <w:rPr>
          <w:b/>
        </w:rPr>
        <w:t>EU-CRMA stretch</w:t>
      </w:r>
      <w:r>
        <w:t xml:space="preserve"> (25% recycling, ≤65% single-country) NI needs the circular build-out to compete for the EU market under the Windsor Framework.</w:t>
      </w:r>
    </w:p>
    <w:p>
      <w:pPr>
        <w:pStyle w:val="Heading2"/>
      </w:pPr>
      <w:r>
        <w:t>Q2.5 — Local employment, skills and regional growth</w:t>
      </w:r>
    </w:p>
    <w:p>
      <w:r>
        <w:rPr>
          <w:b/>
        </w:rPr>
        <w:t>(i) Experiment logic.</w:t>
      </w:r>
      <w:r>
        <w:t xml:space="preserve"> The firm-grounded jobs-by-council output is split by skill level and wage band (ONS SOC/ASHE structure on the real NISRA median wage </w:t>
      </w:r>
      <w:r>
        <w:rPr>
          <w:b/>
        </w:rPr>
        <w:t>£37,100, ASHE 2025</w:t>
      </w:r>
      <w:r>
        <w:t xml:space="preserve">), with </w:t>
      </w:r>
      <w:r>
        <w:rPr>
          <w:b/>
        </w:rPr>
        <w:t>retained local employment</w:t>
      </w:r>
      <w:r>
        <w:t xml:space="preserve"> (the Minviro leakage fix, rising with local-content + skills) and a skilled-training need, across four scenarios.</w:t>
      </w:r>
    </w:p>
    <w:p>
      <w:r>
        <w:rPr>
          <w:b/>
        </w:rPr>
        <w:t>(ii) Data used.</w:t>
      </w:r>
      <w:r>
        <w:t xml:space="preserve"> </w:t>
      </w:r>
      <w:r>
        <w:rPr>
          <w:b/>
        </w:rPr>
        <w:t>NISRA ASHE 2025</w:t>
      </w:r>
      <w:r>
        <w:t xml:space="preserve"> wage anchor (£37,100/yr, £713/wk — up ~7% from £34,632 in 2024, which is retained as a sensitivity; the premium is a ratio so it is unchanged, the wage bill scales ~7%); ONS ASHE-by-industry; NI skills backdrop (~7,500 skill-shortage vacancies, 5,000+ new roles/yr); Minviro retained-jobs estimates (Scen-2: 52 … two-mine 4b: 7,177); UK Industrial Strategy (Belfast named a critical-minerals cluster).</w:t>
      </w:r>
    </w:p>
    <w:p>
      <w:r>
        <w:rPr>
          <w:b/>
        </w:rPr>
        <w:t>(iii) Results.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Total jobs (end)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High-skill jobs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Wage premium vs NI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Local retention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Skilled-training need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1,148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1.11×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Circular innovation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1,513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1.09×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Integrated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2,010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1.17×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86%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698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Local-content + skills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1,393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1.09×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97%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patial_jo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 End-year jobs by council area in the integrated scenario (Q2.5) — growth is rural-weighted, concentrating where the named firms sit (Belfast plus the rural west and Mid Ulster).</w:t>
      </w:r>
    </w:p>
    <w:p>
      <w:r>
        <w:rPr>
          <w:b/>
        </w:rPr>
        <w:t>(iv) How this leads to the answer.</w:t>
      </w:r>
      <w:r>
        <w:t xml:space="preserve"> The sector offers </w:t>
      </w:r>
      <w:r>
        <w:rPr>
          <w:b/>
        </w:rPr>
        <w:t>quality jobs above the NI average</w:t>
      </w:r>
      <w:r>
        <w:t xml:space="preserve"> (~9–17% wage premium), </w:t>
      </w:r>
      <w:r>
        <w:rPr>
          <w:b/>
        </w:rPr>
        <w:t>rural-weighted</w:t>
      </w:r>
      <w:r>
        <w:t xml:space="preserve"> regional growth (Belfast + the west/Mid Ulster), and — crucially — </w:t>
      </w:r>
      <w:r>
        <w:rPr>
          <w:b/>
        </w:rPr>
        <w:t>local retention is a policy choice</w:t>
      </w:r>
      <w:r>
        <w:t xml:space="preserve">: it rises from ~70% to ~97% under a local-content + skills focus, directly countering the Galmoy/Lisheen leakage Minviro warns of. </w:t>
      </w:r>
      <w:r>
        <w:rPr>
          <w:b/>
        </w:rPr>
        <w:t>Skills are the binding enabler</w:t>
      </w:r>
      <w:r>
        <w:t>, so a green-skills/critical-minerals pipeline and apprenticeships are prerequisites, not add-ons.</w:t>
      </w:r>
    </w:p>
    <w:p>
      <w:pPr>
        <w:pStyle w:val="Heading2"/>
      </w:pPr>
      <w:r>
        <w:t>Q2.6 — Economic benefits</w:t>
      </w:r>
    </w:p>
    <w:p>
      <w:r>
        <w:rPr>
          <w:b/>
        </w:rPr>
        <w:t>(i) Experiment logic.</w:t>
      </w:r>
      <w:r>
        <w:t xml:space="preserve"> The coupled Type-II GVA/output/jobs (discounted, 30 yr) are extended with Minviro's full benefit taxonomy — a tax proxy (~25% of GVA), exports, the named-firm investment pipeline, productivity, manufacturing resilience and </w:t>
      </w:r>
      <w:r>
        <w:rPr>
          <w:b/>
        </w:rPr>
        <w:t>avoided import costs</w:t>
      </w:r>
      <w:r>
        <w:t xml:space="preserve"> (the import bill met by domestic + recycled supply). Value-for-money is reported on incremental GVA alone *and* with resilience.</w:t>
      </w:r>
    </w:p>
    <w:p>
      <w:r>
        <w:rPr>
          <w:b/>
        </w:rPr>
        <w:t>(ii) Data used.</w:t>
      </w:r>
      <w:r>
        <w:t xml:space="preserve"> Minviro multiplier basis (NI 2016 + Scotland 2016 I-O), scenario anchors and WACC; named-firm investment pipeline (£1,164m); Minviro retained-jobs/leakage analysis and CLCA carbon (~0.36% of NI CO₂); and the </w:t>
      </w:r>
      <w:r>
        <w:rPr>
          <w:b/>
        </w:rPr>
        <w:t>NISRA NIETS 2024</w:t>
      </w:r>
      <w:r>
        <w:t xml:space="preserve"> external-trade frame (NI sales £109.3bn, exports £19.6bn, imports £11.2bn, surplus £8.4bn) to contextualise the export and avoided-import magnitudes.</w:t>
      </w:r>
    </w:p>
    <w:p>
      <w:r>
        <w:rPr>
          <w:b/>
        </w:rPr>
        <w:t>(iii) Results.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Cum. disc. GVA (£m)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Avoided imports (£m)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Tax proxy (£m)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Exports (£m)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GVA BCR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Resilience BCR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788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1,215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Circular innovation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1,019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1,567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255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842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2.00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Primary extraction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790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1,218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198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632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Integrated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1,153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1,789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288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874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2.21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va_trajec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4. Annual GVA by scenario (Q2.6) — the integrated circular + primary scenario delivers the largest, rising benefit over the 30-year horizon.</w:t>
      </w:r>
    </w:p>
    <w:p>
      <w:r>
        <w:rPr>
          <w:b/>
        </w:rPr>
        <w:t>(iv) How this leads to the answer.</w:t>
      </w:r>
      <w:r>
        <w:t xml:space="preserve"> The benefits are </w:t>
      </w:r>
      <w:r>
        <w:rPr>
          <w:b/>
        </w:rPr>
        <w:t>substantial and broad</w:t>
      </w:r>
      <w:r>
        <w:t xml:space="preserve"> — the integrated scenario delivers ~£1.15bn discounted GVA, ~£1.8bn avoided imports, ~£0.3bn tax and ~£0.9bn exports over 30 years, on top of the £1.16bn investment pipeline. The </w:t>
      </w:r>
      <w:r>
        <w:rPr>
          <w:b/>
        </w:rPr>
        <w:t>value-for-money is honest</w:t>
      </w:r>
      <w:r>
        <w:t xml:space="preserve">: on incremental GVA alone the capital-heavy scenarios return below £1, but once </w:t>
      </w:r>
      <w:r>
        <w:rPr>
          <w:b/>
        </w:rPr>
        <w:t>avoided imports / resilience</w:t>
      </w:r>
      <w:r>
        <w:t xml:space="preserve"> are counted the return rises to ~2×. </w:t>
      </w:r>
      <w:r>
        <w:rPr>
          <w:b/>
        </w:rPr>
        <w:t>Pure extraction support is the weakest</w:t>
      </w:r>
      <w:r>
        <w:t xml:space="preserve"> (little opens without social licence). Headline benefits are an upper bound — the *retained* share depends on the Q2.5 local-content + skills measures. </w:t>
      </w:r>
      <w:r>
        <w:rPr>
          <w:b/>
        </w:rPr>
        <w:t>In the NISRA NIETS 2024 trade frame</w:t>
      </w:r>
      <w:r>
        <w:t>, the integrated minerals system contributes only ~0.3% of NI's £19.6bn external exports and displaces ~1.3% of its £11.2bn external imports by year 30 — small by *volume* but high in *strategic value*, protecting a far larger downstream manufacturing base from import-price and supply shocks. (NIETS sector tables are the recommended next calibration step for the proxy export shares.)</w:t>
      </w:r>
    </w:p>
    <w:p>
      <w:pPr>
        <w:pStyle w:val="Heading2"/>
      </w:pPr>
      <w:r>
        <w:t xml:space="preserve">Q2.7 — Potential </w:t>
      </w:r>
      <w:r>
        <w:rPr>
          <w:b/>
        </w:rPr>
        <w:t>economic</w:t>
      </w:r>
      <w:r>
        <w:t xml:space="preserve"> negative impacts of mineral development</w:t>
      </w:r>
    </w:p>
    <w:p>
      <w:r>
        <w:rPr>
          <w:b/>
        </w:rPr>
        <w:t>(i) Experiment logic.</w:t>
      </w:r>
      <w:r>
        <w:t xml:space="preserve"> This answers the consultation question as literally posed — the </w:t>
      </w:r>
      <w:r>
        <w:rPr>
          <w:b/>
        </w:rPr>
        <w:t>economic</w:t>
      </w:r>
      <w:r>
        <w:t xml:space="preserve"> downsides of (mainly primary) mineral development, </w:t>
      </w:r>
      <w:r>
        <w:rPr>
          <w:b/>
        </w:rPr>
        <w:t>not</w:t>
      </w:r>
      <w:r>
        <w:t xml:space="preserve"> the environmental pressures (carbon/air/land/water/biodiversity stay in the I-O CO₂/PM satellites and are out of scope here). Five Minviro-grounded economic negatives are quantified across scenarios (baseline / circular / lightly-managed primary / integrated / responsible-managed primary): </w:t>
      </w:r>
      <w:r>
        <w:rPr>
          <w:b/>
        </w:rPr>
        <w:t>benefit leakage</w:t>
      </w:r>
      <w:r>
        <w:t xml:space="preserve"> (enclave economy), </w:t>
      </w:r>
      <w:r>
        <w:rPr>
          <w:b/>
        </w:rPr>
        <w:t>closure cliff + remediation liability</w:t>
      </w:r>
      <w:r>
        <w:t xml:space="preserve">, </w:t>
      </w:r>
      <w:r>
        <w:rPr>
          <w:b/>
        </w:rPr>
        <w:t>agriculture/tourism displacement</w:t>
      </w:r>
      <w:r>
        <w:t xml:space="preserve">, </w:t>
      </w:r>
      <w:r>
        <w:rPr>
          <w:b/>
        </w:rPr>
        <w:t>boom-bust price-volatility exposure</w:t>
      </w:r>
      <w:r>
        <w:t xml:space="preserve">, and </w:t>
      </w:r>
      <w:r>
        <w:rPr>
          <w:b/>
        </w:rPr>
        <w:t>stranded/sunk capital</w:t>
      </w:r>
      <w:r>
        <w:t xml:space="preserve"> on contested long-lead projects (</w:t>
      </w:r>
      <w:r>
        <w:rPr>
          <w:rFonts w:ascii="Consolas" w:hAnsi="Consolas"/>
        </w:rPr>
        <w:t>econ_impact_module.py</w:t>
      </w:r>
      <w:r>
        <w:t>).</w:t>
      </w:r>
    </w:p>
    <w:p>
      <w:r>
        <w:rPr>
          <w:b/>
        </w:rPr>
        <w:t>(ii) Data used.</w:t>
      </w:r>
      <w:r>
        <w:t xml:space="preserve"> Minviro Final Report: retained employment §2.2.5 + Galmoy/Lisheen leakage; mine-closure §1.4.6.8 (Fig 1.33 closure-cost estimates); agriculture §3.4.2.4 &amp; tourism §3.4.2.5 displacement; price-volatility/"volatile inflows". Dalradian Curraghinalt (~£250m proposed, ~21-yr inquiry) for the stranded-capital exposure. Parameters (life-of-mine 18 yr, closure £35m/mine, agri+tourism £3m/mine-yr, volatility 0.30, base retention 0.70) are PROXY in the data register.</w:t>
      </w:r>
    </w:p>
    <w:p>
      <w:r>
        <w:rPr>
          <w:b/>
        </w:rPr>
        <w:t>(iii) Results (£m, discounted over 30 years):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Leakage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Closure liability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Agri/tourism displ.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Econ-neg total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per £GVA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Boom-bust /yr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Stranded capital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Net local GVA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653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Circular innovation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780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6"/>
              </w:rPr>
              <w:t>Primary (lightly managed)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359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36%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6.3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125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639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Integrated circular + primary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928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6"/>
              </w:rPr>
              <w:t>Responsible, managed primary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128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11%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1,016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5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econ_negati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5. Q2.7 economic negative impacts of mineral development — leakage + closure liability + agriculture/tourism displacement by scenario. Primary extraction carries the heavy load; circular activity almost none; responsible managed development mitigates it.</w:t>
      </w:r>
    </w:p>
    <w:p>
      <w:r>
        <w:rPr>
          <w:b/>
        </w:rPr>
        <w:t>(iv) How this leads to the answer.</w:t>
      </w:r>
      <w:r>
        <w:t xml:space="preserve"> The economic negatives are real and </w:t>
      </w:r>
      <w:r>
        <w:rPr>
          <w:b/>
        </w:rPr>
        <w:t>largest for primary extraction</w:t>
      </w:r>
      <w:r>
        <w:t>: lightly managed, it runs ~£359m of deterministic economic losses (</w:t>
      </w:r>
      <w:r>
        <w:rPr>
          <w:b/>
        </w:rPr>
        <w:t>36% of its GVA</w:t>
      </w:r>
      <w:r>
        <w:t xml:space="preserve">) — leakage + a closure cliff &amp; remediation liability + agri/tourism displacement — </w:t>
      </w:r>
      <w:r>
        <w:rPr>
          <w:b/>
        </w:rPr>
        <w:t>plus</w:t>
      </w:r>
      <w:r>
        <w:t xml:space="preserve"> ~£125m of contested capital at risk and a closure cliff (the mine's GVA/jobs vanish at end-of-life). Strikingly, its </w:t>
      </w:r>
      <w:r>
        <w:rPr>
          <w:b/>
        </w:rPr>
        <w:t>net local GVA (£639m) falls *below* the baseline (£653m)</w:t>
      </w:r>
      <w:r>
        <w:t xml:space="preserve"> once the negatives are netted off — lightly-managed extraction can leave NI worse off. </w:t>
      </w:r>
      <w:r>
        <w:rPr>
          <w:b/>
        </w:rPr>
        <w:t>Circular activity avoids almost all of it</w:t>
      </w:r>
      <w:r>
        <w:t xml:space="preserve"> (no mine → no closure/displacement/stranded risk; only residual leakage). </w:t>
      </w:r>
      <w:r>
        <w:rPr>
          <w:b/>
        </w:rPr>
        <w:t>Responsible, managed development mitigates the rest</w:t>
      </w:r>
      <w:r>
        <w:t xml:space="preserve"> — local content + skills cut leakage (retention 70%→92%), </w:t>
      </w:r>
      <w:r>
        <w:rPr>
          <w:b/>
        </w:rPr>
        <w:t>bonded closure</w:t>
      </w:r>
      <w:r>
        <w:t xml:space="preserve"> removes the public remediation liability, rehabilitation shortens displacement, and a circular hedge lowers stranded-capital exposure — lifting net local GVA to ~£1,016m. So the answer: the principal economic negatives are </w:t>
      </w:r>
      <w:r>
        <w:rPr>
          <w:b/>
        </w:rPr>
        <w:t>benefit leakage, closure/legacy liabilities, agriculture/tourism displacement, boom-bust exposure and stranded capital</w:t>
      </w:r>
      <w:r>
        <w:t xml:space="preserve">, and they are minimised by </w:t>
      </w:r>
      <w:r>
        <w:rPr>
          <w:b/>
        </w:rPr>
        <w:t>doing development circularly where possible and, where primary proceeds, requiring local content, bonded closure, rehabilitation and a circular hedge</w:t>
      </w:r>
      <w:r>
        <w:t>. (Environmental impacts are a separate question — tracked in the I-O CO₂/PM satellites.)</w:t>
      </w:r>
    </w:p>
    <w:p>
      <w:pPr>
        <w:pStyle w:val="Heading2"/>
      </w:pPr>
      <w:r>
        <w:t>Cross-cutting: demand outlook &amp; the capacity gap</w:t>
      </w:r>
    </w:p>
    <w:p>
      <w:r>
        <w:t xml:space="preserve">Running the strategy-derived demand (Vision 2035 / EU CRMA / UK Industrial Strategy, plateauing at 2035) under a supportive, sustainable stance, the NI opportunity grows to </w:t>
      </w:r>
      <w:r>
        <w:rPr>
          <w:b/>
        </w:rPr>
        <w:t>~2,000 jobs and ~£1.25bn discounted GVA</w:t>
      </w:r>
      <w:r>
        <w:t xml:space="preserve"> (combined-high-demand case) — but </w:t>
      </w:r>
      <w:r>
        <w:rPr>
          <w:b/>
        </w:rPr>
        <w:t>rising demand erodes the supply-security ratios unless capacity scales with it</w:t>
      </w:r>
      <w:r>
        <w:t xml:space="preserve"> (recycled share falls 45%→43%, import share rises 47%→51%). The capacity audit is stark: NI has recovery capacity for </w:t>
      </w:r>
      <w:r>
        <w:rPr>
          <w:b/>
        </w:rPr>
        <w:t>REE only</w:t>
      </w:r>
      <w:r>
        <w:t xml:space="preserve"> (Ionic, 400 tpa) and </w:t>
      </w:r>
      <w:r>
        <w:rPr>
          <w:b/>
        </w:rPr>
        <w:t>none for lithium, cobalt or nickel</w:t>
      </w:r>
      <w:r>
        <w:t xml:space="preserve"> — the fastest-growing battery metals. The chain is </w:t>
      </w:r>
      <w:r>
        <w:rPr>
          <w:b/>
        </w:rPr>
        <w:t>demand-rich but capacity-poor</w:t>
      </w:r>
      <w:r>
        <w:t xml:space="preserve">; the midstream is the priority gap to fund. Demand sensitivity (±50%) moves end-year jobs across 1,539–2,398 but leaves the </w:t>
      </w:r>
      <w:r>
        <w:rPr>
          <w:b/>
        </w:rPr>
        <w:t>qualitative findings robust</w:t>
      </w:r>
      <w:r>
        <w:t>.</w:t>
      </w:r>
    </w:p>
    <w:p>
      <w:pPr>
        <w:pStyle w:val="Heading1"/>
      </w:pPr>
      <w:r>
        <w:t>Part 4 — Synthesis and reproducibility</w:t>
      </w:r>
    </w:p>
    <w:p>
      <w:r>
        <w:rPr>
          <w:b/>
        </w:rPr>
        <w:t>Six recommendations</w:t>
      </w:r>
      <w:r>
        <w:t xml:space="preserve"> (detailed in </w:t>
      </w:r>
      <w:r>
        <w:rPr>
          <w:rFonts w:ascii="Consolas" w:hAnsi="Consolas"/>
        </w:rPr>
        <w:t>EXECUTIVE_SUMMARY.md</w:t>
      </w:r>
      <w:r>
        <w:t>): (1) build the midstream (FOAK + blended finance + offtake); (2) fix feedstock collection (DRS/WEEE); (3) lead with cheap demand-side rules (procurement, ecodesign, passports); (4) make any extraction responsible and contained (community benefit + high-ESG + bonded closure); (5) tie support to local content &amp; skills (70%→97% retention); (6) create one "strategic project" front door + a thin ~180-day reserve.</w:t>
      </w:r>
    </w:p>
    <w:p>
      <w:r>
        <w:rPr>
          <w:b/>
        </w:rPr>
        <w:t>Reproducibility.</w:t>
      </w:r>
    </w:p>
    <w:p>
      <w:r>
        <w:rPr>
          <w:rFonts w:ascii="Consolas" w:hAnsi="Consolas"/>
          <w:sz w:val="16"/>
        </w:rPr>
        <w:t>cd model</w:t>
        <w:br/>
        <w:t>pip install -r requirements.txt</w:t>
        <w:br/>
        <w:t>python run_mvm.py                 # main scenario pipeline → outputs/</w:t>
        <w:br/>
        <w:t>python verify_model.py            # 61 invariant + property-based checks</w:t>
        <w:br/>
        <w:t>python q2_1_circularity_interventions.py … q2_7_negative_impacts.py</w:t>
        <w:br/>
        <w:t>python q_demand_supply_strategy.py</w:t>
        <w:br/>
        <w:t>python make_supply_chain_fig.py &amp;&amp; python make_plots.py   # figures</w:t>
        <w:br/>
        <w:t>python export_word.py             # this report + memos → ../word/</w:t>
        <w:br/>
        <w:t>streamlit run ../streamlit_app.py # interactive dashboard</w:t>
      </w:r>
    </w:p>
    <w:p>
      <w:r>
        <w:t xml:space="preserve">*All figures are model behaviour under stated assumptions, not forecasts. Parameter-level provenance and status are in </w:t>
      </w:r>
      <w:r>
        <w:rPr>
          <w:rFonts w:ascii="Consolas" w:hAnsi="Consolas"/>
        </w:rPr>
        <w:t>model/data/data_register.csv</w:t>
      </w:r>
      <w:r>
        <w:t xml:space="preserve">; full method and equations in </w:t>
      </w:r>
      <w:r>
        <w:rPr>
          <w:rFonts w:ascii="Consolas" w:hAnsi="Consolas"/>
        </w:rPr>
        <w:t>TECHNICAL_DOCUMENTATION.md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