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Q2.6 — Economic benefits of the NI minerals sector</w:t>
      </w:r>
    </w:p>
    <w:p>
      <w:r>
        <w:rPr>
          <w:b/>
        </w:rPr>
        <w:t>Method:</w:t>
      </w:r>
      <w:r>
        <w:t xml:space="preserve"> the coupled model's GVA / output / jobs (Type-II, discounted at STPR 3.5% over 30 years; multiplier basis as Minviro — NI 2016 + Scotland 2016 I-O) are extended with the proposal's full benefit suite — a </w:t>
      </w:r>
      <w:r>
        <w:rPr>
          <w:b/>
        </w:rPr>
        <w:t>tax proxy</w:t>
      </w:r>
      <w:r>
        <w:t xml:space="preserve"> (~25% effective take on GVA), </w:t>
      </w:r>
      <w:r>
        <w:rPr>
          <w:b/>
        </w:rPr>
        <w:t>exports</w:t>
      </w:r>
      <w:r>
        <w:t xml:space="preserve">, the named-firm </w:t>
      </w:r>
      <w:r>
        <w:rPr>
          <w:b/>
        </w:rPr>
        <w:t>investment pipeline</w:t>
      </w:r>
      <w:r>
        <w:t xml:space="preserve">, </w:t>
      </w:r>
      <w:r>
        <w:rPr>
          <w:b/>
        </w:rPr>
        <w:t>productivity</w:t>
      </w:r>
      <w:r>
        <w:t xml:space="preserve"> (GVA per worker), </w:t>
      </w:r>
      <w:r>
        <w:rPr>
          <w:b/>
        </w:rPr>
        <w:t>manufacturing resilience</w:t>
      </w:r>
      <w:r>
        <w:t xml:space="preserve"> and </w:t>
      </w:r>
      <w:r>
        <w:rPr>
          <w:b/>
        </w:rPr>
        <w:t>avoided import costs</w:t>
      </w:r>
      <w:r>
        <w:t xml:space="preserve"> (the discounted value of demand met by domestic + recycled supply, i.e. the import bill NI does not pay). Value-for-money is a GVA benefit-cost ratio (BCR) vs notional public cost. Figures are model behaviour, not forecasts.</w:t>
      </w:r>
    </w:p>
    <w:p>
      <w:r>
        <w:t xml:space="preserve">This maps onto Minviro's own taxonomy of *positive socio-economic impacts* — job creation, economic multiplier effects, </w:t>
      </w:r>
      <w:r>
        <w:rPr>
          <w:b/>
        </w:rPr>
        <w:t>payment of taxes and royalties</w:t>
      </w:r>
      <w:r>
        <w:t xml:space="preserve">, new infrastructure, </w:t>
      </w:r>
      <w:r>
        <w:rPr>
          <w:b/>
        </w:rPr>
        <w:t>investment in training and skills</w:t>
      </w:r>
      <w:r>
        <w:t xml:space="preserve">, </w:t>
      </w:r>
      <w:r>
        <w:rPr>
          <w:b/>
        </w:rPr>
        <w:t>employment of nationals/locals</w:t>
      </w:r>
      <w:r>
        <w:t xml:space="preserve">, and </w:t>
      </w:r>
      <w:r>
        <w:rPr>
          <w:b/>
        </w:rPr>
        <w:t>procurement of goods and services in-country</w:t>
      </w:r>
      <w:r>
        <w:t xml:space="preserve"> — so the benefit set below is the document's, quantified.</w:t>
      </w:r>
    </w:p>
    <w:p>
      <w:pPr>
        <w:pStyle w:val="Heading2"/>
      </w:pPr>
      <w:r>
        <w:t>Benefit suite by scenario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cum_disc_gva_gbp_m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avoided_import_cost_gbp_m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tax_proxy_gbp_m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exports_gbp_m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gva_per_worker_gbp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disc_public_cost_gbp_m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gva_bcr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econ_resilience_bcr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1_baseline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788.3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1215.2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197.1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630.7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45678.0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nan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2_circular_innovation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Circular innovation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1019.1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1567.2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254.8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841.9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46494.0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291.2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0.79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3_primary_extraction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Primary extraction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790.0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1217.9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197.5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631.5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45659.0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113.1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4_integrated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Integrated circular + primary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1152.6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1789.1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288.1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873.5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43625.0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425.4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0.86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2.21</w:t>
            </w:r>
          </w:p>
        </w:tc>
      </w:tr>
    </w:tbl>
    <w:p>
      <w:pPr>
        <w:pStyle w:val="Heading2"/>
      </w:pPr>
      <w:r>
        <w:t>Findings</w:t>
      </w:r>
    </w:p>
    <w:p>
      <w:pPr>
        <w:pStyle w:val="ListNumber"/>
      </w:pPr>
      <w:r>
        <w:rPr>
          <w:b/>
        </w:rPr>
        <w:t>The benefits are substantial and rise with ambition.</w:t>
      </w:r>
      <w:r>
        <w:t xml:space="preserve"> The integrated circular + primary scenario delivers ~£1,153m discounted GVA (+£364m vs baseline), ~£288m tax take and ~£874m exports over 30 years, alongside the £1,164m named-firm investment pipeline.</w:t>
      </w:r>
    </w:p>
    <w:p>
      <w:pPr>
        <w:pStyle w:val="ListNumber"/>
      </w:pPr>
      <w:r>
        <w:rPr>
          <w:b/>
        </w:rPr>
        <w:t>Avoided import costs are a major, often-missed benefit.</w:t>
      </w:r>
      <w:r>
        <w:t xml:space="preserve"> Domestic + recycled supply avoids ~£1,789m of discounted import spending (+£574m vs baseline) — a direct trade-balance and resilience gain for NI manufacturers that buy secure, local inputs rather than volatile imports.</w:t>
      </w:r>
    </w:p>
    <w:p>
      <w:pPr>
        <w:pStyle w:val="ListNumber"/>
      </w:pPr>
      <w:r>
        <w:rPr>
          <w:b/>
        </w:rPr>
        <w:t>Quality, productive jobs.</w:t>
      </w:r>
      <w:r>
        <w:t xml:space="preserve"> GVA per worker is ~£43,625 and the sectors pay above the NI average (see Q2.5); manufacturing resilience improves as secure secondary inputs displace import risk.</w:t>
      </w:r>
    </w:p>
    <w:p>
      <w:pPr>
        <w:pStyle w:val="ListNumber"/>
      </w:pPr>
      <w:r>
        <w:rPr>
          <w:b/>
        </w:rPr>
        <w:t>Value for money:</w:t>
      </w:r>
      <w:r>
        <w:t xml:space="preserve"> on </w:t>
      </w:r>
      <w:r>
        <w:rPr>
          <w:b/>
        </w:rPr>
        <w:t>incremental GVA alone</w:t>
      </w:r>
      <w:r>
        <w:t xml:space="preserve"> the return is below 1 for the capital-heavy scenarios (e.g. integrated ~0.86 extra GVA per £ public cost) — but once the </w:t>
      </w:r>
      <w:r>
        <w:rPr>
          <w:b/>
        </w:rPr>
        <w:t>avoided-import / resilience benefit</w:t>
      </w:r>
      <w:r>
        <w:t xml:space="preserve"> is added the return rises to ~2.21× and the wider tax, export and jobs benefits push it higher still. Pure extraction support is the weakest value (little opens without social licence — cf. Q2.2).</w:t>
      </w:r>
    </w:p>
    <w:p>
      <w:pPr>
        <w:pStyle w:val="ListNumber"/>
      </w:pPr>
      <w:r>
        <w:rPr>
          <w:b/>
        </w:rPr>
        <w:t>Benefits compound across questions:</w:t>
      </w:r>
      <w:r>
        <w:t xml:space="preserve"> the same spend that secures supply (Q2.4) and supports firms (Q2.3) also produces the GVA, exports and avoided imports here — so the economic case should be read as a portfolio, not lever-by-lever.</w:t>
      </w:r>
    </w:p>
    <w:p>
      <w:pPr>
        <w:pStyle w:val="Heading2"/>
      </w:pPr>
      <w:r>
        <w:t>In the NI trade frame (NISRA NIETS 2024)</w:t>
      </w:r>
    </w:p>
    <w:p>
      <w:r>
        <w:t xml:space="preserve">NISRA's NI Economic Trade Statistics put NI on </w:t>
      </w:r>
      <w:r>
        <w:rPr>
          <w:b/>
        </w:rPr>
        <w:t>£109.3bn</w:t>
      </w:r>
      <w:r>
        <w:t xml:space="preserve"> total business sales, </w:t>
      </w:r>
      <w:r>
        <w:rPr>
          <w:b/>
        </w:rPr>
        <w:t>£19.6bn</w:t>
      </w:r>
      <w:r>
        <w:t xml:space="preserve"> exports outside the UK, </w:t>
      </w:r>
      <w:r>
        <w:rPr>
          <w:b/>
        </w:rPr>
        <w:t>£11.2bn</w:t>
      </w:r>
      <w:r>
        <w:t xml:space="preserve"> imports from outside the UK and a </w:t>
      </w:r>
      <w:r>
        <w:rPr>
          <w:b/>
        </w:rPr>
        <w:t>£8.4bn</w:t>
      </w:r>
      <w:r>
        <w:t xml:space="preserve"> external goods-trade surplus (2024). Against that frame the integrated minerals system contributes, by year 30, roughly </w:t>
      </w:r>
      <w:r>
        <w:rPr>
          <w:b/>
        </w:rPr>
        <w:t>£67m/yr of exports</w:t>
      </w:r>
      <w:r>
        <w:t xml:space="preserve"> (~0.3% of NI external exports) and displaces about </w:t>
      </w:r>
      <w:r>
        <w:rPr>
          <w:b/>
        </w:rPr>
        <w:t>£142m/yr of imports</w:t>
      </w:r>
      <w:r>
        <w:t xml:space="preserve"> (~1.3% of NI external imports). The point is </w:t>
      </w:r>
      <w:r>
        <w:rPr>
          <w:b/>
        </w:rPr>
        <w:t>not volume</w:t>
      </w:r>
      <w:r>
        <w:t xml:space="preserve"> — minerals are a small slice of NI trade — but </w:t>
      </w:r>
      <w:r>
        <w:rPr>
          <w:b/>
        </w:rPr>
        <w:t>strategic value and resilience</w:t>
      </w:r>
      <w:r>
        <w:t>: these are high-value, supply-insecure inputs whose domestic/recycled supply protects a far larger downstream manufacturing base (Wrightbus, Seagate, Spirit, Encirc) from import-price and availability shocks. NIETS sector tables are the right next step to replace the proxy export shares.</w:t>
      </w:r>
    </w:p>
    <w:p>
      <w:pPr>
        <w:pStyle w:val="Heading2"/>
      </w:pPr>
      <w:r>
        <w:t>Retained benefit &amp; caveats (Minviro)</w:t>
      </w:r>
    </w:p>
    <w:p>
      <w:pPr>
        <w:pStyle w:val="ListBullet"/>
      </w:pPr>
      <w:r>
        <w:rPr>
          <w:b/>
        </w:rPr>
        <w:t>Benefits only count if they stay in NI.</w:t>
      </w:r>
      <w:r>
        <w:t xml:space="preserve"> Minviro devotes a section to *retained employment*, warning that mining benefits can be *"economically detached from the regions"* — it cites the recently closed Irish mines </w:t>
      </w:r>
      <w:r>
        <w:rPr>
          <w:b/>
        </w:rPr>
        <w:t>Galmoy and Lisheen</w:t>
      </w:r>
      <w:r>
        <w:t>, where national and international specialist firms during construction *limited the extent of local employment*. Its own estimate of retained direct jobs over 30 years scales with activity (Scenario 2: 52; one-mine: ~1,225; two-mine: ~7,177). So the headline GVA/jobs here are an upper bound; the *retained* share depends on local-content and skills measures (quantified in Q2.5, where retention rises from ~70% to ~97%).</w:t>
      </w:r>
    </w:p>
    <w:p>
      <w:pPr>
        <w:pStyle w:val="ListBullet"/>
      </w:pPr>
      <w:r>
        <w:rPr>
          <w:b/>
        </w:rPr>
        <w:t>The benefits come at modest carbon cost.</w:t>
      </w:r>
      <w:r>
        <w:t xml:space="preserve"> Minviro's CLCA puts the most active mining scenario at only ~0.36% of NI annual CO2 (and ~0.24% of PM) — so the economic case is not bought with large national emissions (the real impact trade-off is the *local* environmental burden, Q2.7).</w:t>
      </w:r>
    </w:p>
    <w:p>
      <w:pPr>
        <w:pStyle w:val="ListBullet"/>
      </w:pPr>
      <w:r>
        <w:rPr>
          <w:b/>
        </w:rPr>
        <w:t>A skilled-labour shortage is a binding limitation.</w:t>
      </w:r>
      <w:r>
        <w:t xml:space="preserve"> Minviro notes all scenarios *"rely on access to a pool of skilled labour"* (even the US flags too few qualified domestic workers) — so the skills pipeline (Q2.5) gates how much of this benefit materialises.</w:t>
      </w:r>
    </w:p>
    <w:p>
      <w:pPr>
        <w:pStyle w:val="ListBullet"/>
      </w:pPr>
      <w:r>
        <w:rPr>
          <w:b/>
        </w:rPr>
        <w:t>Fiscal benefit is conservative.</w:t>
      </w:r>
      <w:r>
        <w:t xml:space="preserve"> The ~25% tax proxy captures income tax/NICs + corporation tax but </w:t>
      </w:r>
      <w:r>
        <w:rPr>
          <w:b/>
        </w:rPr>
        <w:t>excludes royalties</w:t>
      </w:r>
      <w:r>
        <w:t xml:space="preserve"> (gold and silver are Crown-vested in NI) — Minviro lists *taxes and royalties* together, so the true fiscal return is somewhat higher.</w:t>
      </w:r>
    </w:p>
    <w:p>
      <w:pPr>
        <w:pStyle w:val="Heading2"/>
      </w:pPr>
      <w:r>
        <w:t>Sources &amp; assumptions</w:t>
      </w:r>
    </w:p>
    <w:p>
      <w:pPr>
        <w:pStyle w:val="ListBullet"/>
      </w:pPr>
      <w:r>
        <w:t>Minviro Final Report §2: 30-yr dynamic I-O (NI 2016 + Scotland 2016 multipliers), GVA/output/jobs scenario anchors (basic-exploration ~3 jobs/yr; one-mine 3a ~73 jobs/£7.3m/£1.6m; two-mine 4b ~430 jobs/£43m/£9m p.a.), WACC 11.26%</w:t>
      </w:r>
    </w:p>
    <w:p>
      <w:pPr>
        <w:pStyle w:val="ListBullet"/>
      </w:pPr>
      <w:r>
        <w:t>Minviro positive socio-economic taxonomy: jobs, multiplier effects, taxes &amp; royalties, infrastructure, training/skills, employment of nationals/locals, in-country procurement</w:t>
      </w:r>
    </w:p>
    <w:p>
      <w:pPr>
        <w:pStyle w:val="ListBullet"/>
      </w:pPr>
      <w:r>
        <w:t>Minviro retained-employment analysis + Galmoy/Lisheen leakage comparison; skilled-labour-shortage limitation</w:t>
      </w:r>
    </w:p>
    <w:p>
      <w:pPr>
        <w:pStyle w:val="ListBullet"/>
      </w:pPr>
      <w:r>
        <w:t>Tax proxy ~25% of GVA (PROXY, excludes royalties); export intensities &amp; avoided-import valuation PROXY (replace with HMRC Regional Trade Statistics + firm offtake data)</w:t>
      </w:r>
    </w:p>
    <w:p>
      <w:pPr>
        <w:pStyle w:val="ListBullet"/>
      </w:pPr>
      <w:r>
        <w:t>NISRA NI Economic Trade Statistics (NIETS) 2024: NI business sales £109.3bn; external exports £19.6bn; external imports £11.2bn; trade surplus £8.4bn — the trade frame for the export/avoided-import context (sector tables are the next calibration step)</w:t>
      </w:r>
    </w:p>
    <w:p>
      <w:pPr>
        <w:pStyle w:val="ListBullet"/>
      </w:pPr>
      <w:r>
        <w:t>Investment pipeline from company_register.csv (named-firm investment_gbp_m)</w:t>
      </w:r>
    </w:p>
    <w:p>
      <w:r>
        <w:t>*BCR uses discounted GVA vs notional public cost; avoided imports, tax and exports are reported separately to avoid double-counting value-added.*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