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Q2.7 — Negative impacts and how to minimise them</w:t>
      </w:r>
    </w:p>
    <w:p>
      <w:r>
        <w:rPr>
          <w:b/>
        </w:rPr>
        <w:t>Method (grounded in Minviro Appendix A):</w:t>
      </w:r>
      <w:r>
        <w:t xml:space="preserve"> the model's validated CO2 (ktCO2e) and PM (t) satellites are reported with relative pressure indices for the other Appendix-A impact groups — </w:t>
      </w:r>
      <w:r>
        <w:rPr>
          <w:b/>
        </w:rPr>
        <w:t>water</w:t>
      </w:r>
      <w:r>
        <w:t xml:space="preserve"> (availability &amp; quality), </w:t>
      </w:r>
      <w:r>
        <w:rPr>
          <w:b/>
        </w:rPr>
        <w:t>land transformation</w:t>
      </w:r>
      <w:r>
        <w:t xml:space="preserve"> (take, habitat loss, landscape), </w:t>
      </w:r>
      <w:r>
        <w:rPr>
          <w:b/>
        </w:rPr>
        <w:t>biodiversity</w:t>
      </w:r>
      <w:r>
        <w:t xml:space="preserve">, and </w:t>
      </w:r>
      <w:r>
        <w:rPr>
          <w:b/>
        </w:rPr>
        <w:t>mine waste/tailings</w:t>
      </w:r>
      <w:r>
        <w:t xml:space="preserve"> — plus </w:t>
      </w:r>
      <w:r>
        <w:rPr>
          <w:b/>
        </w:rPr>
        <w:t>eco-efficiency</w:t>
      </w:r>
      <w:r>
        <w:t xml:space="preserve"> (impact per £m GVA). Per Appendix A the ultimate receptors are *people and biodiversity*, and impacts are </w:t>
      </w:r>
      <w:r>
        <w:rPr>
          <w:b/>
        </w:rPr>
        <w:t>site-specific</w:t>
      </w:r>
      <w:r>
        <w:t xml:space="preserve"> (receptors, design, operation and </w:t>
      </w:r>
      <w:r>
        <w:rPr>
          <w:b/>
        </w:rPr>
        <w:t>closure</w:t>
      </w:r>
      <w:r>
        <w:t>). Pressure indices are dimensionless PROXIES; the credible content is the relative contrast and per-£GVA efficiency.</w:t>
      </w:r>
    </w:p>
    <w:p>
      <w:pPr>
        <w:pStyle w:val="Heading2"/>
      </w:pPr>
      <w:r>
        <w:t>Impact profile by scenario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  <w:sz w:val="16"/>
              </w:rPr>
              <w:t>scenario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label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cum_disc_co2_kt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cum_disc_pm_t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water_pressure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land_pressure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biodiversity_pressure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waste_pressure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co2_per_gva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land_per_gva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1_baseline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1591.8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170.9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3033.0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3813.0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2979.0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18178.0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2.019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4.837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2_circular_innovation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Circular innovation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1974.0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206.6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3455.0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4024.0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3120.0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18882.0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1.937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3.949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3_primary_extraction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Primary extraction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2233.6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253.8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4321.0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5959.0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4696.0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28908.0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2.237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5.967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4_integrated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Integrated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2487.2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277.4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5346.0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7338.0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5781.0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35568.0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2.158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6.368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6_high_esg_low_impact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High-ESG / low-impact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2432.9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270.4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3836.0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4822.0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3768.0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22988.0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2.145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4.251</w:t>
            </w:r>
          </w:p>
        </w:tc>
      </w:tr>
    </w:tbl>
    <w:p>
      <w:pPr>
        <w:pStyle w:val="Heading2"/>
      </w:pPr>
      <w:r>
        <w:t>Findings</w:t>
      </w:r>
    </w:p>
    <w:p>
      <w:pPr>
        <w:pStyle w:val="ListNumber"/>
      </w:pPr>
      <w:r>
        <w:rPr>
          <w:b/>
        </w:rPr>
        <w:t>Primary mining carries the heavy local burden.</w:t>
      </w:r>
      <w:r>
        <w:t xml:space="preserve"> It is land-, water-, biodiversity- and tailings-intensive: the primary-extraction scenario's land pressure (5959) and waste/tailings pressure (28908) far exceed the circular scenario's (4024 / 18882). These are the impacts Minviro Appendix A treats as site-specific — land take, habitat loss, water draw-down, tailings, dust, noise and closure liabilities.</w:t>
      </w:r>
    </w:p>
    <w:p>
      <w:pPr>
        <w:pStyle w:val="ListNumber"/>
      </w:pPr>
      <w:r>
        <w:rPr>
          <w:b/>
        </w:rPr>
        <w:t>Recycling is far lower-impact per unit benefit.</w:t>
      </w:r>
      <w:r>
        <w:t xml:space="preserve"> Secondary supply avoids the land/water/biodiversity/tailings burden almost entirely and its carbon footprint is ~30% of primary — so the circular scenario has much lower land-per-£GVA (3.95) than primary extraction (5.97). Circularity is the impact-minimising route to the same supply security.</w:t>
      </w:r>
    </w:p>
    <w:p>
      <w:pPr>
        <w:pStyle w:val="ListNumber"/>
      </w:pPr>
      <w:r>
        <w:rPr>
          <w:b/>
        </w:rPr>
        <w:t>High-ESG design materially mitigates the local burden.</w:t>
      </w:r>
      <w:r>
        <w:t xml:space="preserve"> Applying high-ESG conditions (water recycling, progressive rehabilitation, biodiversity net gain, dust/noise controls, closure planning) cuts primary pressures by up to ~35%: the high-ESG scenario's land pressure (4822) sits well below unmitigated primary extraction (5959) for comparable development.</w:t>
      </w:r>
    </w:p>
    <w:p>
      <w:pPr>
        <w:pStyle w:val="ListNumber"/>
      </w:pPr>
      <w:r>
        <w:rPr>
          <w:b/>
        </w:rPr>
        <w:t>Carbon and air impacts are modest in national terms.</w:t>
      </w:r>
      <w:r>
        <w:t xml:space="preserve"> Minviro's CLCA found the most active mining scenario adds only </w:t>
      </w:r>
      <w:r>
        <w:rPr>
          <w:b/>
        </w:rPr>
        <w:t>~0.36% of NI annual CO2</w:t>
      </w:r>
      <w:r>
        <w:t xml:space="preserve"> and </w:t>
      </w:r>
      <w:r>
        <w:rPr>
          <w:b/>
        </w:rPr>
        <w:t>~0.24% of PM</w:t>
      </w:r>
      <w:r>
        <w:t xml:space="preserve"> per year when mines are active. In the model, cumulative discounted CO2 grows from 1592 kt (baseline) as recycling/processing expands, but CO2-per-£GVA stays low and recycling displaces higher-carbon primary + import routes — so the binding negative impacts are the *local* land/water/biodiversity burden, not national carbon. Mining carbon can be cut further with hydrogen haul trucks and electrified crushers/mills on renewable power (Minviro). Read with Q2.6: the impacts buy real GVA, jobs and avoided imports.</w:t>
      </w:r>
    </w:p>
    <w:p>
      <w:pPr>
        <w:pStyle w:val="ListNumber"/>
      </w:pPr>
      <w:r>
        <w:rPr>
          <w:b/>
        </w:rPr>
        <w:t>Impacts are site-specific and concentrated.</w:t>
      </w:r>
      <w:r>
        <w:t xml:space="preserve"> Any primary mine's land/biodiversity/water burden falls on its host council area (e.g. Curraghinalt in Fermanagh &amp; Omagh) and named receptors — so impact assessment, community benefit and closure bonds must be project- and place-specific, not modelled generically.</w:t>
      </w:r>
    </w:p>
    <w:p>
      <w:pPr>
        <w:pStyle w:val="Heading2"/>
      </w:pPr>
      <w:r>
        <w:t>Minimisation hierarchy (Minviro Appendix A)</w:t>
      </w:r>
    </w:p>
    <w:p>
      <w:pPr>
        <w:pStyle w:val="ListBullet"/>
      </w:pPr>
      <w:r>
        <w:rPr>
          <w:b/>
        </w:rPr>
        <w:t>Avoid</w:t>
      </w:r>
      <w:r>
        <w:t xml:space="preserve"> — prioritise recycling/secondary supply and design-for-disassembly (lowest land/water/biodiversity footprint).</w:t>
      </w:r>
    </w:p>
    <w:p>
      <w:pPr>
        <w:pStyle w:val="ListBullet"/>
      </w:pPr>
      <w:r>
        <w:rPr>
          <w:b/>
        </w:rPr>
        <w:t>Mitigate</w:t>
      </w:r>
      <w:r>
        <w:t xml:space="preserve"> — where primary extraction proceeds, require high-ESG design: water stewardship, progressive rehabilitation, biodiversity net gain, dust/noise/traffic controls.</w:t>
      </w:r>
    </w:p>
    <w:p>
      <w:pPr>
        <w:pStyle w:val="ListBullet"/>
      </w:pPr>
      <w:r>
        <w:rPr>
          <w:b/>
        </w:rPr>
        <w:t>Manage closure</w:t>
      </w:r>
      <w:r>
        <w:t xml:space="preserve"> — bonded mine-closure and post-closure monitoring (a distinct Appendix-A impact group); and manage socio-economic risks (boom-bust, wage inflation, public-service costs, agriculture/tourism displacement) locally.</w:t>
      </w:r>
    </w:p>
    <w:p>
      <w:pPr>
        <w:pStyle w:val="Heading2"/>
      </w:pPr>
      <w:r>
        <w:t>Sources &amp; assumptions</w:t>
      </w:r>
    </w:p>
    <w:p>
      <w:pPr>
        <w:pStyle w:val="ListBullet"/>
      </w:pPr>
      <w:r>
        <w:t>Minviro Appendix A: impact groups (land transformation, water availability/quality, air quality &amp; noise, GHG, biodiversity, mine closure, tailings/waste rock); site-specific receptors; avoid &gt; mitigate &gt; closure hierarchy</w:t>
      </w:r>
    </w:p>
    <w:p>
      <w:pPr>
        <w:pStyle w:val="ListBullet"/>
      </w:pPr>
      <w:r>
        <w:t>Minviro Final Report CLCA: most active mining scenario adds ~0.36% of NI annual CO2 / ~0.24% of PM when active; decarbonisation via hydrogen haul trucks + electrified processing on renewables</w:t>
      </w:r>
    </w:p>
    <w:p>
      <w:pPr>
        <w:pStyle w:val="ListBullet"/>
      </w:pPr>
      <w:r>
        <w:t>UK Industrial Strategy 2025: circular practices (re-use/recycling) 'reduce the environmental impact of resource extraction'</w:t>
      </w:r>
    </w:p>
    <w:p>
      <w:pPr>
        <w:pStyle w:val="ListBullet"/>
      </w:pPr>
      <w:r>
        <w:t>Minviro CLCA + ree_pilot: recycling carbon footprint ~30% of primary</w:t>
      </w:r>
    </w:p>
    <w:p>
      <w:pPr>
        <w:pStyle w:val="ListBullet"/>
      </w:pPr>
      <w:r>
        <w:t>CO2/PM are the model's I-O satellites (NAEI/DAERA-class, PROXY); water/land/biodiversity/waste are dimensionless relative pressure indices (PROXY) — replace with site EIA + ecoinvent/EXIOBASE characterisation factors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