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Northern Ireland Circular Minerals Model — Technical Report</w:t>
      </w:r>
    </w:p>
    <w:p>
      <w:r>
        <w:rPr>
          <w:b/>
        </w:rPr>
        <w:t>Subject:</w:t>
      </w:r>
      <w:r>
        <w:t xml:space="preserve"> the model, methodology, mathematical specification, data and assumptions of the integrated Agent-Based × dynamic Input–Output × Computable General Equilibrium (CGE) model of the Northern Ireland minerals system (consultation questions 2.1–2.7).</w:t>
      </w:r>
    </w:p>
    <w:p>
      <w:r>
        <w:rPr>
          <w:b/>
        </w:rPr>
        <w:t>Status:</w:t>
      </w:r>
      <w:r>
        <w:t xml:space="preserve"> Tier-3 (fully coupled), calibrated to the Minviro anchors and the NI baseline, CI-checked (61-check verification harness).</w:t>
      </w:r>
    </w:p>
    <w:p>
      <w:pPr>
        <w:pStyle w:val="IntenseQuote"/>
      </w:pPr>
      <w:r>
        <w:rPr>
          <w:b/>
        </w:rPr>
        <w:t>Status of figures.</w:t>
      </w:r>
      <w:r>
        <w:t xml:space="preserve"> This is a *policy-scenario simulator*, not a forecasting tool. Real, sourced anchors are used for validation and control totals; most economic-structure coefficients and behavioural thresholds are </w:t>
      </w:r>
      <w:r>
        <w:rPr>
          <w:b/>
        </w:rPr>
        <w:t>proxy</w:t>
      </w:r>
      <w:r>
        <w:t xml:space="preserve"> values, flagged in </w:t>
      </w:r>
      <w:r>
        <w:rPr>
          <w:rFonts w:ascii="Consolas" w:hAnsi="Consolas"/>
        </w:rPr>
        <w:t>model/data/data_register.csv</w:t>
      </w:r>
      <w:r>
        <w:t>. Every quantity is model behaviour under stated assumptions — not a prediction. The *equations below are the permanent mathematical structure*; swapping the proxy coefficients for collected NI data (same equations) turns the model into a calibrated tool.</w:t>
      </w:r>
    </w:p>
    <w:p>
      <w:pPr>
        <w:pStyle w:val="Heading2"/>
      </w:pPr>
      <w:r>
        <w:t>1. Methodology and model overview</w:t>
      </w:r>
    </w:p>
    <w:p>
      <w:r>
        <w:t xml:space="preserve">The model simulates the NI minerals system end to end — primary extraction → processing/refining → manufacturing use → in-use stock → end-of-life → collection → recovery → secondary material, with imports/exports closing the balance — and compares </w:t>
      </w:r>
      <w:r>
        <w:rPr>
          <w:b/>
        </w:rPr>
        <w:t>which mix</w:t>
      </w:r>
      <w:r>
        <w:t xml:space="preserve"> of extraction, recycling, substitution, circular design, imports and public support best balances supply resilience, GVA, employment, environmental protection and community acceptance.</w:t>
      </w:r>
    </w:p>
    <w:p>
      <w:r>
        <w:rPr>
          <w:b/>
        </w:rPr>
        <w:t>Coupling.</w:t>
      </w:r>
      <w:r>
        <w:t xml:space="preserve"> Four engines are </w:t>
      </w:r>
      <w:r>
        <w:rPr>
          <w:b/>
        </w:rPr>
        <w:t>soft-linked</w:t>
      </w:r>
      <w:r>
        <w:t xml:space="preserve"> — solved sequentially on an annual time step </w:t>
      </w:r>
      <w:r>
        <w:rPr>
          <w:rFonts w:ascii="Consolas" w:hAnsi="Consolas"/>
        </w:rPr>
        <w:t>t = 0,…,T−1</w:t>
      </w:r>
      <w:r>
        <w:t xml:space="preserve"> (</w:t>
      </w:r>
      <w:r>
        <w:rPr>
          <w:rFonts w:ascii="Consolas" w:hAnsi="Consolas"/>
        </w:rPr>
        <w:t>T = 30</w:t>
      </w:r>
      <w:r>
        <w:t>, 2026–2055), passing objects between them — rather than simultaneously. Soft-linking is the debuggable, independently-validatable choice and keeps each module's mathematics standard:</w:t>
      </w:r>
    </w:p>
    <w:p>
      <w:r>
        <w:rPr>
          <w:rFonts w:ascii="Consolas" w:hAnsi="Consolas"/>
          <w:sz w:val="16"/>
        </w:rPr>
        <w:t xml:space="preserve"> policy levers θ  ─►  ABM (firm decisions)  ─►  signals s_t</w:t>
        <w:br/>
        <w:t xml:space="preserve">                              │                     │</w:t>
        <w:br/>
        <w:t xml:space="preserve">        price/wage feedback ◄─┘                     ▼</w:t>
        <w:br/>
        <w:t xml:space="preserve">                              MFA (physical stock-flow, mass balance, shocks)</w:t>
        <w:br/>
        <w:t xml:space="preserve">                                          │ final-demand vector f_t (£m)</w:t>
        <w:br/>
        <w:t xml:space="preserve">                                          ▼</w:t>
        <w:br/>
        <w:t xml:space="preserve">                        dynamic Leontief I-O  ─►  GVA, jobs, CO₂, PM</w:t>
        <w:br/>
        <w:t xml:space="preserve">                                          │</w:t>
        <w:br/>
        <w:t xml:space="preserve">                                          ▼</w:t>
        <w:br/>
        <w:t xml:space="preserve">                       CGE on the NI SAM  ─►  prices PD, wage w  ─►  (feedback to ABM)</w:t>
        <w:br/>
        <w:t xml:space="preserve">                                          │</w:t>
        <w:br/>
        <w:t xml:space="preserve">                                          ▼</w:t>
        <w:br/>
        <w:t xml:space="preserve">                  spatial allocation (11 councils) + indicators (Q2.1–2.7)</w:t>
      </w:r>
    </w:p>
    <w:p>
      <w:r>
        <w:rPr>
          <w:b/>
        </w:rPr>
        <w:t>Discounting.</w:t>
      </w:r>
      <w:r>
        <w:t xml:space="preserve"> All cumulative monetary/employment/emission quantities use the HM Treasury / NIGEAE Social Time Preference Rate </w:t>
      </w:r>
      <w:r>
        <w:rPr>
          <w:rFonts w:ascii="Consolas" w:hAnsi="Consolas"/>
        </w:rPr>
        <w:t>δ = 3.5%</w:t>
      </w:r>
      <w:r>
        <w:t>:</w:t>
      </w:r>
    </w:p>
    <w:p>
      <w:r>
        <w:rPr>
          <w:rFonts w:ascii="Consolas" w:hAnsi="Consolas"/>
          <w:sz w:val="16"/>
        </w:rPr>
        <w:t>PV = Σ_{t=0}^{T−1}  x_t / (1 + δ)^t ,    δ = 0.035 ,  T = 30</w:t>
      </w:r>
    </w:p>
    <w:p>
      <w:pPr>
        <w:pStyle w:val="Heading2"/>
      </w:pPr>
      <w:r>
        <w:t>2. Sets and notation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Meaning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i, j ∈ {1,…,N}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economic sectors, </w:t>
            </w:r>
            <w:r>
              <w:rPr>
                <w:rFonts w:ascii="Consolas" w:hAnsi="Consolas"/>
                <w:sz w:val="16"/>
              </w:rPr>
              <w:t>N = 8</w:t>
            </w:r>
            <w:r>
              <w:rPr>
                <w:sz w:val="16"/>
              </w:rPr>
              <w:t xml:space="preserve"> (Agriculture, Mining_Quarrying, Recycling_Secondary, Manufacturing, Energy_Utilities, Construction, Transport_Logistics, Services)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m ∈ 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minerals, 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= 10` (REE_magnet, Lithium, Cobalt, Nickel, Copper, Aluminium, Antimony, Baryte, Salt, Zinc)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M_c ⊂ 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critical-mineral subset (REE, Li, Co, Ni, Cu, Al, Sb); copper is a UK *growth* (not critical) mineral and is reported separately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 xml:space="preserve">year index, </w:t>
            </w:r>
            <w:r>
              <w:rPr>
                <w:rFonts w:ascii="Consolas" w:hAnsi="Consolas"/>
                <w:sz w:val="16"/>
              </w:rPr>
              <w:t>0,…,T−1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policy-lever vector (16 levers, default 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A = [a_ij]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I-O technical-coefficient matrix (input i per unit output j)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L = (I−A)⁻¹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Leontief inverse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3. Mathematical specification</w:t>
      </w:r>
    </w:p>
    <w:p>
      <w:pPr>
        <w:pStyle w:val="Heading3"/>
      </w:pPr>
      <w:r>
        <w:t>3.1 Material Flow Account (MFA) — physical backbone</w:t>
      </w:r>
    </w:p>
    <w:p>
      <w:r>
        <w:t xml:space="preserve">For each mineral </w:t>
      </w:r>
      <w:r>
        <w:rPr>
          <w:rFonts w:ascii="Consolas" w:hAnsi="Consolas"/>
        </w:rPr>
        <w:t>m</w:t>
      </w:r>
      <w:r>
        <w:t xml:space="preserve">, per-mineral seed parameters are </w:t>
      </w:r>
      <w:r>
        <w:rPr>
          <w:rFonts w:ascii="Consolas" w:hAnsi="Consolas"/>
        </w:rPr>
        <w:t>(D⁰_m, life_m, coll_m, rec_m, dom0_m, κ_m)</w:t>
      </w:r>
      <w:r>
        <w:t xml:space="preserve"> = (baseline demand, product lifetime, collection rate, recovery yield, domestic-primary share, single-country import concentration). Demand grows with an optional CAGR </w:t>
      </w:r>
      <w:r>
        <w:rPr>
          <w:rFonts w:ascii="Consolas" w:hAnsi="Consolas"/>
        </w:rPr>
        <w:t>g_m</w:t>
      </w:r>
      <w:r>
        <w:t xml:space="preserve"> (with a plateau year </w:t>
      </w:r>
      <w:r>
        <w:rPr>
          <w:rFonts w:ascii="Consolas" w:hAnsi="Consolas"/>
        </w:rPr>
        <w:t>t̄</w:t>
      </w:r>
      <w:r>
        <w:t xml:space="preserve">) and a firm-derived downstream signal </w:t>
      </w:r>
      <w:r>
        <w:rPr>
          <w:rFonts w:ascii="Consolas" w:hAnsi="Consolas"/>
        </w:rPr>
        <w:t>φ</w:t>
      </w:r>
      <w:r>
        <w:t>:</w:t>
      </w:r>
    </w:p>
    <w:p>
      <w:r>
        <w:rPr>
          <w:rFonts w:ascii="Consolas" w:hAnsi="Consolas"/>
          <w:sz w:val="16"/>
        </w:rPr>
        <w:t>D_{m,t} = D⁰_m · φ · (1 + g_m)^min(t, t̄)</w:t>
      </w:r>
    </w:p>
    <w:p>
      <w:r>
        <w:rPr>
          <w:b/>
        </w:rPr>
        <w:t>Annual flows</w:t>
      </w:r>
      <w:r>
        <w:t xml:space="preserve"> (Δ· are ABM boosts; </w:t>
      </w:r>
      <w:r>
        <w:rPr>
          <w:rFonts w:ascii="Consolas" w:hAnsi="Consolas"/>
        </w:rPr>
        <w:t>Lᵐ = life_m</w:t>
      </w:r>
      <w:r>
        <w:t>):</w:t>
      </w:r>
    </w:p>
    <w:p>
      <w:r>
        <w:rPr>
          <w:rFonts w:ascii="Consolas" w:hAnsi="Consolas"/>
          <w:sz w:val="16"/>
        </w:rPr>
        <w:t>eol_{m,t}      = inflow_{m, t−Lᵐ}                                  end-of-life arisings (ring buffer)</w:t>
        <w:br/>
        <w:t>c_rate         = min(0.95, coll_m + Δcoll_{m,t}) ,  capped at 0.25 for WEEE-stream {REE,Li,Co}</w:t>
        <w:br/>
        <w:t>collected      = eol_{m,t} · c_rate</w:t>
        <w:br/>
        <w:t>recycled       = collected · min(0.98, rec_m + Δrec_{m,t})</w:t>
        <w:br/>
        <w:t>dom_{m,t}      = D_{m,t} · min(1, dom0_m + Δdom_{m,t})              domestic primary (allocated first)</w:t>
        <w:br/>
        <w:t>sec_{m,t}      = min(recycled, max(0, D_{m,t} − dom_{m,t}))         secondary supply</w:t>
        <w:br/>
        <w:t>remaining      = max(0, D_{m,t} − dom_{m,t} − sec_{m,t})</w:t>
        <w:br/>
        <w:t>imports_{m,t}  = min(remaining, cap_{m,t} · D_{m,t})               cap_{m,t} = shock; else +∞</w:t>
        <w:br/>
        <w:t>unmet_{m,t}    = remaining − imports_{m,t}                          supply gap (hits downstream)</w:t>
      </w:r>
    </w:p>
    <w:p>
      <w:r>
        <w:rPr>
          <w:b/>
        </w:rPr>
        <w:t>Mass-balance identity</w:t>
      </w:r>
      <w:r>
        <w:t xml:space="preserve"> — checked for every </w:t>
      </w:r>
      <w:r>
        <w:rPr>
          <w:rFonts w:ascii="Consolas" w:hAnsi="Consolas"/>
        </w:rPr>
        <w:t>(m,t)</w:t>
      </w:r>
      <w:r>
        <w:t xml:space="preserve"> (tolerance 1e-6):</w:t>
      </w:r>
    </w:p>
    <w:p>
      <w:r>
        <w:rPr>
          <w:rFonts w:ascii="Consolas" w:hAnsi="Consolas"/>
          <w:sz w:val="16"/>
        </w:rPr>
        <w:t>dom_{m,t} + imports_{m,t} + sec_{m,t} + unmet_{m,t} = D_{m,t}</w:t>
      </w:r>
    </w:p>
    <w:p>
      <w:r>
        <w:rPr>
          <w:b/>
        </w:rPr>
        <w:t>Supply-security indicators</w:t>
      </w:r>
      <w:r>
        <w:t xml:space="preserve"> (shares of demand) and the </w:t>
      </w:r>
      <w:r>
        <w:rPr>
          <w:b/>
        </w:rPr>
        <w:t>concentration-risk metrics</w:t>
      </w:r>
      <w:r>
        <w:t>:</w:t>
      </w:r>
    </w:p>
    <w:p>
      <w:r>
        <w:rPr>
          <w:rFonts w:ascii="Consolas" w:hAnsi="Consolas"/>
          <w:sz w:val="16"/>
        </w:rPr>
        <w:t>domestic_share = dom/D ,  recycled_share = sec/D ,  import_share = imports/D ,  gap_share = unmet/D</w:t>
        <w:br/>
        <w:t>single_country_exposure   = import_share · κ_m · (1 − 0.45·diversification)</w:t>
        <w:br/>
        <w:t>top3_exposure             = import_share · κ³_m · (1 − 0.20·diversification)      (IEA 2025)</w:t>
        <w:br/>
        <w:t>refining_exposure         = import_share · κʳ_m                                   (not cut by diversification)</w:t>
      </w:r>
    </w:p>
    <w:p>
      <w:r>
        <w:t xml:space="preserve">where </w:t>
      </w:r>
      <w:r>
        <w:rPr>
          <w:rFonts w:ascii="Consolas" w:hAnsi="Consolas"/>
        </w:rPr>
        <w:t>κ³_m</w:t>
      </w:r>
      <w:r>
        <w:t xml:space="preserve"> (top-three producer share, IEA ≈ 86% for key minerals) and </w:t>
      </w:r>
      <w:r>
        <w:rPr>
          <w:rFonts w:ascii="Consolas" w:hAnsi="Consolas"/>
        </w:rPr>
        <w:t>κʳ_m</w:t>
      </w:r>
      <w:r>
        <w:t xml:space="preserve"> (refining/processing share, China ≈ 70% for 19/20) are per-mineral vectors. The diversification lever reduces single-country exposure up to 45% (calibrated to Japan's post-2010 ~90%→~58% cut) and top-three up to 20%; </w:t>
      </w:r>
      <w:r>
        <w:rPr>
          <w:b/>
        </w:rPr>
        <w:t>refining exposure falls only as the import share itself falls</w:t>
      </w:r>
      <w:r>
        <w:t xml:space="preserve"> (i.e. only by building domestic recovery/processing capacity) — the model's formal statement that the security problem is midstream.</w:t>
      </w:r>
    </w:p>
    <w:p>
      <w:r>
        <w:rPr>
          <w:b/>
        </w:rPr>
        <w:t>Upstream shock.</w:t>
      </w:r>
      <w:r>
        <w:t xml:space="preserve"> </w:t>
      </w:r>
      <w:r>
        <w:rPr>
          <w:rFonts w:ascii="Consolas" w:hAnsi="Consolas"/>
        </w:rPr>
        <w:t>cap_{m,t}</w:t>
      </w:r>
      <w:r>
        <w:t xml:space="preserve"> is either a static dict </w:t>
      </w:r>
      <w:r>
        <w:rPr>
          <w:rFonts w:ascii="Consolas" w:hAnsi="Consolas"/>
        </w:rPr>
        <w:t>{m: cap}</w:t>
      </w:r>
      <w:r>
        <w:t xml:space="preserve"> or a callable </w:t>
      </w:r>
      <w:r>
        <w:rPr>
          <w:rFonts w:ascii="Consolas" w:hAnsi="Consolas"/>
        </w:rPr>
        <w:t>f(t)</w:t>
      </w:r>
      <w:r>
        <w:t xml:space="preserve"> (time-varying onset), with </w:t>
      </w:r>
      <w:r>
        <w:rPr>
          <w:rFonts w:ascii="Consolas" w:hAnsi="Consolas"/>
        </w:rPr>
        <w:t>cap_{m} = 1 − loss · κ_m</w:t>
      </w:r>
      <w:r>
        <w:t xml:space="preserve"> (a dominant-supplier export ban). A </w:t>
      </w:r>
      <w:r>
        <w:rPr>
          <w:b/>
        </w:rPr>
        <w:t>strategic stockpile</w:t>
      </w:r>
      <w:r>
        <w:t xml:space="preserve"> is a finite reserve </w:t>
      </w:r>
      <w:r>
        <w:rPr>
          <w:rFonts w:ascii="Consolas" w:hAnsi="Consolas"/>
        </w:rPr>
        <w:t>R_m = ρ·STOCKPILE_DEPTH</w:t>
      </w:r>
      <w:r>
        <w:t xml:space="preserve"> (ρ = lever, DEPTH = 0.5 demand-years ≈ 180 days) drawn down at ≤ </w:t>
      </w:r>
      <w:r>
        <w:rPr>
          <w:rFonts w:ascii="Consolas" w:hAnsi="Consolas"/>
        </w:rPr>
        <w:t>STOCKPILE_RATE·ρ</w:t>
      </w:r>
      <w:r>
        <w:t xml:space="preserve"> (RATE = 0.30) of demand per shock year until exhausted — a bridge, not a fix.</w:t>
      </w:r>
    </w:p>
    <w:p>
      <w:pPr>
        <w:pStyle w:val="Heading3"/>
      </w:pPr>
      <w:r>
        <w:t>3.2 Agent-Based Model (ABM) — firm-grounded (mesa 3.x)</w:t>
      </w:r>
    </w:p>
    <w:p>
      <w:r>
        <w:t xml:space="preserve">Each agent is a named NI firm with attributes (scores </w:t>
      </w:r>
      <w:r>
        <w:rPr>
          <w:rFonts w:ascii="Consolas" w:hAnsi="Consolas"/>
        </w:rPr>
        <w:t>s</w:t>
      </w:r>
      <w:r>
        <w:t xml:space="preserve"> ∈ [0,1], lifecycle, employees, capacity). Expectations are adaptive: </w:t>
      </w:r>
      <w:r>
        <w:rPr>
          <w:rFonts w:ascii="Consolas" w:hAnsi="Consolas"/>
        </w:rPr>
        <w:t>p̂_t = λ·p_t + (1−λ)·p̂_{t−1}</w:t>
      </w:r>
      <w:r>
        <w:t xml:space="preserve">, </w:t>
      </w:r>
      <w:r>
        <w:rPr>
          <w:rFonts w:ascii="Consolas" w:hAnsi="Consolas"/>
        </w:rPr>
        <w:t>λ = 0.5</w:t>
      </w:r>
      <w:r>
        <w:t>.</w:t>
      </w:r>
    </w:p>
    <w:p>
      <w:r>
        <w:rPr>
          <w:b/>
        </w:rPr>
        <w:t>MiningFirm — real-option development trigger.</w:t>
      </w:r>
      <w:r>
        <w:t xml:space="preserve"> A proposed deposit develops only if its margin clears the development hurdle </w:t>
      </w:r>
      <w:r>
        <w:rPr>
          <w:b/>
        </w:rPr>
        <w:t>and</w:t>
      </w:r>
      <w:r>
        <w:t xml:space="preserve"> social licence clears the floor:</w:t>
      </w:r>
    </w:p>
    <w:p>
      <w:r>
        <w:rPr>
          <w:rFonts w:ascii="Consolas" w:hAnsi="Consolas"/>
          <w:sz w:val="16"/>
        </w:rPr>
        <w:t>deposit_quality q = clip( (0.65·resource + 0.35·capacity) · confidence , 0, 1 )</w:t>
        <w:br/>
        <w:t>eff_wacc          = WACC · (1 − 0.5·finance_support) ,        WACC = 0.1126</w:t>
        <w:br/>
        <w:t>margin            = q·p̂  + exploration_grant + 0.05·skills − esg_cost − 0.12·project_risk − eff_wacc</w:t>
        <w:br/>
        <w:t>social_licence    = 0.6 − 0.5·esg_cost − 0.25·project_risk + 0.30·community_benefit</w:t>
        <w:br/>
        <w:br/>
        <w:t>develop  ⇔  margin &gt; h  AND  social_licence &gt; 0.4 ,           h = dev_hurdle = 0.45 (× CGE wage)</w:t>
        <w:br/>
        <w:t>permit delay (yrs) = max(1, permit_years) + round( 3·project_risk·(1 − 0.5·skills) )</w:t>
      </w:r>
    </w:p>
    <w:p>
      <w:r>
        <w:t xml:space="preserve">On development the firm adds </w:t>
      </w:r>
      <w:r>
        <w:rPr>
          <w:rFonts w:ascii="Consolas" w:hAnsi="Consolas"/>
        </w:rPr>
        <w:t>output_share = clip(0.05 + 0.13·capacity, 0.03, 0.18)</w:t>
      </w:r>
      <w:r>
        <w:t xml:space="preserve"> to domestic supply </w:t>
      </w:r>
      <w:r>
        <w:rPr>
          <w:rFonts w:ascii="Consolas" w:hAnsi="Consolas"/>
        </w:rPr>
        <w:t>Δdom_m</w:t>
      </w:r>
      <w:r>
        <w:t xml:space="preserve">. Operating sites supply immediately; contested high-risk deposits (e.g. Dalradian) stay blocked unless </w:t>
      </w:r>
      <w:r>
        <w:rPr>
          <w:rFonts w:ascii="Consolas" w:hAnsi="Consolas"/>
        </w:rPr>
        <w:t>community_benefit</w:t>
      </w:r>
      <w:r>
        <w:t xml:space="preserve"> lifts social licence above 0.4 — the central Q2.2 mechanism.</w:t>
      </w:r>
    </w:p>
    <w:p>
      <w:r>
        <w:rPr>
          <w:b/>
        </w:rPr>
        <w:t>RecyclerFirm — processor (recovery) or collector (feedstock).</w:t>
      </w:r>
      <w:r>
        <w:t xml:space="preserve"> For a processor with target minerals </w:t>
      </w:r>
      <w:r>
        <w:rPr>
          <w:rFonts w:ascii="Consolas" w:hAnsi="Consolas"/>
        </w:rPr>
        <w:t>T</w:t>
      </w:r>
      <w:r>
        <w:t>:</w:t>
      </w:r>
    </w:p>
    <w:p>
      <w:r>
        <w:rPr>
          <w:rFonts w:ascii="Consolas" w:hAnsi="Consolas"/>
          <w:sz w:val="16"/>
        </w:rPr>
        <w:t>viability = recycling_grant + recycled_content_procurement + 0.5·secondary_market_support</w:t>
        <w:br/>
        <w:t xml:space="preserve">            + (mean_{m∈T} p_m − 1) − 0.3·(energy_cost_index − 1)</w:t>
        <w:br/>
        <w:t xml:space="preserve">            + 0.08·(capacity_signal − 0.5) + 0.04·equipment_support + 0.15·innovation_grant</w:t>
        <w:br/>
        <w:t xml:space="preserve">            (+0.05 if an installed plant exists, e.g. Ionic 400 tpa)</w:t>
        <w:br/>
        <w:t>if viability &gt; 0.05:</w:t>
        <w:br/>
        <w:t xml:space="preserve">    gain        = min(0.06, 0.06·viability·(0.75 + capacity_signal)·(1 + 0.3·skills))</w:t>
        <w:br/>
        <w:t xml:space="preserve">    Δrec_m     += gain (+ 0.02·innovation_grant for process-yield gains),  capped at 0.35</w:t>
      </w:r>
    </w:p>
    <w:p>
      <w:r>
        <w:t xml:space="preserve">A collector raises </w:t>
      </w:r>
      <w:r>
        <w:rPr>
          <w:rFonts w:ascii="Consolas" w:hAnsi="Consolas"/>
        </w:rPr>
        <w:t>Δcoll_m += 0.008·feedstock + 0.02·(collection_infrastructure + product_passport)·(0.5 + feedstock)</w:t>
      </w:r>
      <w:r>
        <w:t>, capped at 0.50.</w:t>
      </w:r>
    </w:p>
    <w:p>
      <w:r>
        <w:rPr>
          <w:b/>
        </w:rPr>
        <w:t>ManufacturerFirm — recycled-content uptake</w:t>
      </w:r>
      <w:r>
        <w:t xml:space="preserve"> (drives the I-O mining→recycling coefficient shift):</w:t>
      </w:r>
    </w:p>
    <w:p>
      <w:r>
        <w:rPr>
          <w:rFonts w:ascii="Consolas" w:hAnsi="Consolas"/>
          <w:sz w:val="16"/>
        </w:rPr>
        <w:t>ceiling = min(0.85, circularity + 0.15·innovation_grant + 0.05·secondary_market_support)</w:t>
        <w:br/>
        <w:t>rate    = circularity·( 0.5·avail + 0.05·(design_standards+procurement) + 0.04·innovation</w:t>
        <w:br/>
        <w:t xml:space="preserve">                        + 0.03·skills + 0.05·secondary_market )</w:t>
        <w:br/>
        <w:t>uptake  = min(ceiling, uptake + rate)</w:t>
      </w:r>
    </w:p>
    <w:p>
      <w:r>
        <w:t xml:space="preserve">with </w:t>
      </w:r>
      <w:r>
        <w:rPr>
          <w:rFonts w:ascii="Consolas" w:hAnsi="Consolas"/>
        </w:rPr>
        <w:t>avail = mean_{m∈M_c} Δrec_m</w:t>
      </w:r>
      <w:r>
        <w:t xml:space="preserve">. The economy-wide </w:t>
      </w:r>
      <w:r>
        <w:rPr>
          <w:b/>
        </w:rPr>
        <w:t>recycling-substitution signal</w:t>
      </w:r>
      <w:r>
        <w:t xml:space="preserve"> is the employment-weighted mean of firm uptake, </w:t>
      </w:r>
      <w:r>
        <w:rPr>
          <w:rFonts w:ascii="Consolas" w:hAnsi="Consolas"/>
        </w:rPr>
        <w:t>Σ uptake·wₖ / Σ wₖ</w:t>
      </w:r>
      <w:r>
        <w:t xml:space="preserve">, </w:t>
      </w:r>
      <w:r>
        <w:rPr>
          <w:rFonts w:ascii="Consolas" w:hAnsi="Consolas"/>
        </w:rPr>
        <w:t>wₖ = ln(1+employeesₖ)</w:t>
      </w:r>
      <w:r>
        <w:t>.</w:t>
      </w:r>
    </w:p>
    <w:p>
      <w:pPr>
        <w:pStyle w:val="Heading3"/>
      </w:pPr>
      <w:r>
        <w:t>3.3 Dynamic Leontief Input–Output</w:t>
      </w:r>
    </w:p>
    <w:p>
      <w:r>
        <w:rPr>
          <w:rFonts w:ascii="Consolas" w:hAnsi="Consolas"/>
        </w:rPr>
        <w:t>A</w:t>
      </w:r>
      <w:r>
        <w:t xml:space="preserve"> is the 8×8 proxy coefficient matrix scaled by </w:t>
      </w:r>
      <w:r>
        <w:rPr>
          <w:rFonts w:ascii="Consolas" w:hAnsi="Consolas"/>
        </w:rPr>
        <w:t>DOMESTIC_INTENSITY = 0.62</w:t>
      </w:r>
      <w:r>
        <w:t xml:space="preserve"> (high import leakage of a small open region). Production and impacts:</w:t>
      </w:r>
    </w:p>
    <w:p>
      <w:r>
        <w:rPr>
          <w:rFonts w:ascii="Consolas" w:hAnsi="Consolas"/>
          <w:sz w:val="16"/>
        </w:rPr>
        <w:t>Type-I output:     x = L · f ,   L = (I − A)⁻¹</w:t>
        <w:br/>
        <w:t>Satellites:        GVA = ĝ ⊙ x ,  jobs = ê ⊙ x ,  CO₂ = ĉ ⊙ x ,  PM = p̂ ⊙ x      (⊙ = elementwise)</w:t>
      </w:r>
    </w:p>
    <w:p>
      <w:r>
        <w:rPr>
          <w:b/>
        </w:rPr>
        <w:t>Type-II (induced)</w:t>
      </w:r>
      <w:r>
        <w:t xml:space="preserve"> effects via a *closed* model — augment </w:t>
      </w:r>
      <w:r>
        <w:rPr>
          <w:rFonts w:ascii="Consolas" w:hAnsi="Consolas"/>
        </w:rPr>
        <w:t>A</w:t>
      </w:r>
      <w:r>
        <w:t xml:space="preserve"> with a household row (income = wage share of GVA) and column (local consumption):</w:t>
      </w:r>
    </w:p>
    <w:p>
      <w:r>
        <w:rPr>
          <w:rFonts w:ascii="Consolas" w:hAnsi="Consolas"/>
          <w:sz w:val="16"/>
        </w:rPr>
        <w:t xml:space="preserve">        ⎡ A          h_c ⎤             h_c[i] = HH_CONSUMPTION_i · LOCAL_CONSUMPTION_PROPENSITY (0.42)</w:t>
        <w:br/>
        <w:t>A_c =   ⎢                ⎥ ,           h_r[j] = ĝ_j · WAGE_SHARE_OF_GVA (0.55)</w:t>
        <w:br/>
        <w:t xml:space="preserve">        ⎣ h_r        0   ⎦</w:t>
        <w:br/>
        <w:t>x_ext = (I − A_c)⁻¹ · [f ; 0] ,   output = x_ext[1:N]</w:t>
      </w:r>
    </w:p>
    <w:p>
      <w:r>
        <w:t xml:space="preserve">Output multipliers are column sums of </w:t>
      </w:r>
      <w:r>
        <w:rPr>
          <w:rFonts w:ascii="Consolas" w:hAnsi="Consolas"/>
        </w:rPr>
        <w:t>L</w:t>
      </w:r>
      <w:r>
        <w:t xml:space="preserve"> (Type I) and of the closed inverse (Type II). Calibrated so a mining demand shock yields ≈ 10 total jobs/£m and a Type-II mining output multiplier ≈ 1.69 (verified in 1.3–2.2).</w:t>
      </w:r>
    </w:p>
    <w:p>
      <w:r>
        <w:rPr>
          <w:b/>
        </w:rPr>
        <w:t>Dynamic coefficients</w:t>
      </w:r>
      <w:r>
        <w:t xml:space="preserve"> (updated each year from ABM signals): recycling substitution shifts manufacturing's mining input to recycling, </w:t>
      </w:r>
      <w:r>
        <w:rPr>
          <w:rFonts w:ascii="Consolas" w:hAnsi="Consolas"/>
        </w:rPr>
        <w:t>a_{mine,man} −= σ·a_{mine,man}</w:t>
      </w:r>
      <w:r>
        <w:t xml:space="preserve">, </w:t>
      </w:r>
      <w:r>
        <w:rPr>
          <w:rFonts w:ascii="Consolas" w:hAnsi="Consolas"/>
        </w:rPr>
        <w:t>a_{rec,man} += σ·a_{mine,man}</w:t>
      </w:r>
      <w:r>
        <w:t xml:space="preserve">; local-procurement gain lowers mining import share; a small productivity gain shrinks all </w:t>
      </w:r>
      <w:r>
        <w:rPr>
          <w:rFonts w:ascii="Consolas" w:hAnsi="Consolas"/>
        </w:rPr>
        <w:t>a_ij</w:t>
      </w:r>
      <w:r>
        <w:t xml:space="preserve">; </w:t>
      </w:r>
      <w:r>
        <w:rPr>
          <w:rFonts w:ascii="Consolas" w:hAnsi="Consolas"/>
        </w:rPr>
        <w:t>A</w:t>
      </w:r>
      <w:r>
        <w:t xml:space="preserve"> clipped to [0, 0.95].</w:t>
      </w:r>
    </w:p>
    <w:p>
      <w:pPr>
        <w:pStyle w:val="Heading3"/>
      </w:pPr>
      <w:r>
        <w:t>3.4 Social Accounting Matrix (SAM)</w:t>
      </w:r>
    </w:p>
    <w:p>
      <w:r>
        <w:t xml:space="preserve">NI has no published SAM, so one is </w:t>
      </w:r>
      <w:r>
        <w:rPr>
          <w:b/>
        </w:rPr>
        <w:t>constructed</w:t>
      </w:r>
      <w:r>
        <w:t xml:space="preserve"> and balances by construction (Walras). The control total is pinned by the </w:t>
      </w:r>
      <w:r>
        <w:rPr>
          <w:b/>
        </w:rPr>
        <w:t>real mining anchor</w:t>
      </w:r>
      <w:r>
        <w:t xml:space="preserve"> (£108m = 0.27% of NI GVA ⇒ total ≈ £40,000m):</w:t>
      </w:r>
    </w:p>
    <w:p>
      <w:r>
        <w:rPr>
          <w:rFonts w:ascii="Consolas" w:hAnsi="Consolas"/>
          <w:sz w:val="16"/>
        </w:rPr>
        <w:t>GVA_i      = share_i · 40000 ,        share_{mining} = 0.0027 (real); others proxy NI structure</w:t>
        <w:br/>
        <w:t>output_i   = GVA_i / ĝ_i</w:t>
        <w:br/>
        <w:t>Z          = A ⊙ output (column-broadcast)                     domestic intermediate flows</w:t>
        <w:br/>
        <w:t>imp_int_j  = max(0, output_j − Σ_i Z_ij − GVA_j)               imported intermediates (activity residual)</w:t>
        <w:br/>
        <w:t>labour_i   = 0.60·GVA_i ,  capital_i = 0.40·GVA_i</w:t>
        <w:br/>
        <w:t>exports_i  = ξ_i · output_i</w:t>
        <w:br/>
        <w:t>base_fd_i  = max(0, output_i − Σ_j Z_ij − exports_i)</w:t>
        <w:br/>
        <w:t>gov_i      = 0.18·base_fd_i ,  invest_i = 0.10·base_fd_i ,  household_i = base_fd_i − gov_i − invest_i</w:t>
        <w:br/>
        <w:t>imp_com_i  = max(0, (Σ_j Z_ij + household + gov + invest) − (output_i − exports_i))   commodity residual</w:t>
      </w:r>
    </w:p>
    <w:p>
      <w:r>
        <w:t xml:space="preserve">Institutional accounts close as residuals (direct tax = HH residual; gov savings = gov residual; foreign savings = capital residual), so </w:t>
      </w:r>
      <w:r>
        <w:rPr>
          <w:b/>
        </w:rPr>
        <w:t>row sums = column sums</w:t>
      </w:r>
      <w:r>
        <w:t xml:space="preserve"> to ~1e-12 (verified), and the matrix reproduces the £108m mining-GVA anchor.</w:t>
      </w:r>
    </w:p>
    <w:p>
      <w:pPr>
        <w:pStyle w:val="Heading3"/>
      </w:pPr>
      <w:r>
        <w:t>3.5 Computable General Equilibrium (CGE)</w:t>
      </w:r>
    </w:p>
    <w:p>
      <w:r>
        <w:t xml:space="preserve">A compact recursive-dynamic, single-region open economy calibrated to the SAM. Unknowns: domestic prices </w:t>
      </w:r>
      <w:r>
        <w:rPr>
          <w:rFonts w:ascii="Consolas" w:hAnsi="Consolas"/>
        </w:rPr>
        <w:t>PD_i</w:t>
      </w:r>
      <w:r>
        <w:t xml:space="preserve">, activity levels </w:t>
      </w:r>
      <w:r>
        <w:rPr>
          <w:rFonts w:ascii="Consolas" w:hAnsi="Consolas"/>
        </w:rPr>
        <w:t>X_i</w:t>
      </w:r>
      <w:r>
        <w:t xml:space="preserve">, wage </w:t>
      </w:r>
      <w:r>
        <w:rPr>
          <w:rFonts w:ascii="Consolas" w:hAnsi="Consolas"/>
        </w:rPr>
        <w:t>w</w:t>
      </w:r>
      <w:r>
        <w:t xml:space="preserve">, capital rental </w:t>
      </w:r>
      <w:r>
        <w:rPr>
          <w:rFonts w:ascii="Consolas" w:hAnsi="Consolas"/>
        </w:rPr>
        <w:t>r</w:t>
      </w:r>
      <w:r>
        <w:t>. Numeraire: world price = exchange rate = 1.</w:t>
      </w:r>
    </w:p>
    <w:p>
      <w:r>
        <w:rPr>
          <w:b/>
        </w:rPr>
        <w:t>Value added — Cobb-Douglas</w:t>
      </w:r>
      <w:r>
        <w:t xml:space="preserve"> (calibrated so </w:t>
      </w:r>
      <w:r>
        <w:rPr>
          <w:rFonts w:ascii="Consolas" w:hAnsi="Consolas"/>
        </w:rPr>
        <w:t>VA⁰ = L⁰ + K⁰</w:t>
      </w:r>
      <w:r>
        <w:t xml:space="preserve"> replicates the benchmark exactly), labour cost share </w:t>
      </w:r>
      <w:r>
        <w:rPr>
          <w:rFonts w:ascii="Consolas" w:hAnsi="Consolas"/>
        </w:rPr>
        <w:t>α_i = L⁰_i/(L⁰_i+K⁰_i)</w:t>
      </w:r>
      <w:r>
        <w:t xml:space="preserve">, scale </w:t>
      </w:r>
      <w:r>
        <w:rPr>
          <w:rFonts w:ascii="Consolas" w:hAnsi="Consolas"/>
        </w:rPr>
        <w:t>B^v_i = VA⁰_i / (L⁰_i^{α_i} K⁰_i^{1−α_i})</w:t>
      </w:r>
      <w:r>
        <w:t xml:space="preserve">. Unit VA cost and conditional factor demands under productivity multiplier </w:t>
      </w:r>
      <w:r>
        <w:rPr>
          <w:rFonts w:ascii="Consolas" w:hAnsi="Consolas"/>
        </w:rPr>
        <w:t>π_i</w:t>
      </w:r>
      <w:r>
        <w:t>:</w:t>
      </w:r>
    </w:p>
    <w:p>
      <w:r>
        <w:rPr>
          <w:rFonts w:ascii="Consolas" w:hAnsi="Consolas"/>
          <w:sz w:val="16"/>
        </w:rPr>
        <w:t>c^v_i = (1/(B^v_i π_i)) · (w/α_i)^{α_i} · (r/(1−α_i))^{1−α_i}</w:t>
        <w:br/>
        <w:t>L_i   = α_i c^v_i VA_i / w ,    K_i = (1−α_i) c^v_i VA_i / r ,    VA_i = (VA⁰_i/X⁰_i)·X_i</w:t>
      </w:r>
    </w:p>
    <w:p>
      <w:r>
        <w:rPr>
          <w:b/>
        </w:rPr>
        <w:t>Armington CES</w:t>
      </w:r>
      <w:r>
        <w:t xml:space="preserve"> (Hosoe form, σ_A = 2.0, base </w:t>
      </w:r>
      <w:r>
        <w:rPr>
          <w:rFonts w:ascii="Consolas" w:hAnsi="Consolas"/>
        </w:rPr>
        <w:t>PD=PM=1</w:t>
      </w:r>
      <w:r>
        <w:t xml:space="preserve">), with share </w:t>
      </w:r>
      <w:r>
        <w:rPr>
          <w:rFonts w:ascii="Consolas" w:hAnsi="Consolas"/>
        </w:rPr>
        <w:t>δ_i</w:t>
      </w:r>
      <w:r>
        <w:t xml:space="preserve"> and scale </w:t>
      </w:r>
      <w:r>
        <w:rPr>
          <w:rFonts w:ascii="Consolas" w:hAnsi="Consolas"/>
        </w:rPr>
        <w:t>B^A_i</w:t>
      </w:r>
      <w:r>
        <w:t xml:space="preserve"> calibrated to the benchmark </w:t>
      </w:r>
      <w:r>
        <w:rPr>
          <w:rFonts w:ascii="Consolas" w:hAnsi="Consolas"/>
        </w:rPr>
        <w:t>D⁰_i, M⁰_i</w:t>
      </w:r>
      <w:r>
        <w:t>:</w:t>
      </w:r>
    </w:p>
    <w:p>
      <w:r>
        <w:rPr>
          <w:rFonts w:ascii="Consolas" w:hAnsi="Consolas"/>
          <w:sz w:val="16"/>
        </w:rPr>
        <w:t>PA_i = (1/B^A_i)·[ δ_i^{σ_A} PD_i^{1−σ_A} + (1−δ_i)^{σ_A} PM_i^{1−σ_A} ]^{1/(1−σ_A)}</w:t>
        <w:br/>
        <w:t>D_i  = (QA_i/B^A_i)·( B^A_i δ_i PA_i / PD_i )^{σ_A}</w:t>
        <w:br/>
        <w:t>M_i  = (QA_i/B^A_i)·( B^A_i (1−δ_i) PA_i / PM_i )^{σ_A}</w:t>
      </w:r>
    </w:p>
    <w:p>
      <w:r>
        <w:rPr>
          <w:b/>
        </w:rPr>
        <w:t>Households</w:t>
      </w:r>
      <w:r>
        <w:t xml:space="preserve"> spend a Cobb-Douglas budget (shares </w:t>
      </w:r>
      <w:r>
        <w:rPr>
          <w:rFonts w:ascii="Consolas" w:hAnsi="Consolas"/>
        </w:rPr>
        <w:t>β_i</w:t>
      </w:r>
      <w:r>
        <w:t xml:space="preserve">, savings rate </w:t>
      </w:r>
      <w:r>
        <w:rPr>
          <w:rFonts w:ascii="Consolas" w:hAnsi="Consolas"/>
        </w:rPr>
        <w:t>σ_s</w:t>
      </w:r>
      <w:r>
        <w:t xml:space="preserve">) out of factor income </w:t>
      </w:r>
      <w:r>
        <w:rPr>
          <w:rFonts w:ascii="Consolas" w:hAnsi="Consolas"/>
        </w:rPr>
        <w:t>Y_h = w·L̄ + r·K̄</w:t>
      </w:r>
      <w:r>
        <w:t xml:space="preserve">. </w:t>
      </w:r>
      <w:r>
        <w:rPr>
          <w:b/>
        </w:rPr>
        <w:t>Government &amp; investment</w:t>
      </w:r>
      <w:r>
        <w:t xml:space="preserve"> are fixed real (× demand-shift </w:t>
      </w:r>
      <w:r>
        <w:rPr>
          <w:rFonts w:ascii="Consolas" w:hAnsi="Consolas"/>
        </w:rPr>
        <w:t>d_i</w:t>
      </w:r>
      <w:r>
        <w:t xml:space="preserve">). </w:t>
      </w:r>
      <w:r>
        <w:rPr>
          <w:b/>
        </w:rPr>
        <w:t>Exports</w:t>
      </w:r>
      <w:r>
        <w:t xml:space="preserve"> fall in the domestic price with elasticity σ_e = 2.0: </w:t>
      </w:r>
      <w:r>
        <w:rPr>
          <w:rFonts w:ascii="Consolas" w:hAnsi="Consolas"/>
        </w:rPr>
        <w:t>EX_i = EX⁰_i · PD_i^{−σ_e}</w:t>
      </w:r>
      <w:r>
        <w:t>.</w:t>
      </w:r>
    </w:p>
    <w:p>
      <w:r>
        <w:rPr>
          <w:b/>
        </w:rPr>
        <w:t>Equilibrium system</w:t>
      </w:r>
      <w:r>
        <w:t xml:space="preserve"> — zero-profit prices, commodity market clearing, and factor-market clearing:</w:t>
      </w:r>
    </w:p>
    <w:p>
      <w:r>
        <w:rPr>
          <w:rFonts w:ascii="Consolas" w:hAnsi="Consolas"/>
          <w:sz w:val="16"/>
        </w:rPr>
        <w:t>(price)     PD_i = Σ_j a^c_{ji} PA_j + c^v_i · (VA⁰_i/X⁰_i)</w:t>
        <w:br/>
        <w:t>(commodity) X_i  = D_i + EX_i ,     QA_i = Σ_j io_{ij} X_j + C_i + G_i + I_i</w:t>
        <w:br/>
        <w:t>(labour)    Σ_i L_i = L̄ ,    (capital)  Σ_i K_i = K̄</w:t>
      </w:r>
    </w:p>
    <w:p>
      <w:r>
        <w:t xml:space="preserve">solved with </w:t>
      </w:r>
      <w:r>
        <w:rPr>
          <w:rFonts w:ascii="Consolas" w:hAnsi="Consolas"/>
        </w:rPr>
        <w:t>scipy.optimize.root</w:t>
      </w:r>
      <w:r>
        <w:t xml:space="preserve"> (hybr, xtol 1e-10). </w:t>
      </w:r>
      <w:r>
        <w:rPr>
          <w:b/>
        </w:rPr>
        <w:t>Benchmark replication:</w:t>
      </w:r>
      <w:r>
        <w:t xml:space="preserve"> all excess demands ≈ 0 and </w:t>
      </w:r>
      <w:r>
        <w:rPr>
          <w:rFonts w:ascii="Consolas" w:hAnsi="Consolas"/>
        </w:rPr>
        <w:t>w = 1.000</w:t>
      </w:r>
      <w:r>
        <w:t xml:space="preserve"> at base. Feedback to the ABM (Tier-3): the relative mining price </w:t>
      </w:r>
      <w:r>
        <w:rPr>
          <w:rFonts w:ascii="Consolas" w:hAnsi="Consolas"/>
        </w:rPr>
        <w:t>PD_{mine}</w:t>
      </w:r>
      <w:r>
        <w:t xml:space="preserve"> (clipped to [0.8, 1.5]) sets next year's mineral-price index, and the wage index scales the development hurdle </w:t>
      </w:r>
      <w:r>
        <w:rPr>
          <w:rFonts w:ascii="Consolas" w:hAnsi="Consolas"/>
        </w:rPr>
        <w:t>h = 0.45·w</w:t>
      </w:r>
      <w:r>
        <w:t>.</w:t>
      </w:r>
    </w:p>
    <w:p>
      <w:r>
        <w:rPr>
          <w:b/>
        </w:rPr>
        <w:t>Partial-equilibrium fallback</w:t>
      </w:r>
      <w:r>
        <w:t xml:space="preserve"> (used only if the full solve fails to converge): linear elasticity responses </w:t>
      </w:r>
      <w:r>
        <w:rPr>
          <w:rFonts w:ascii="Consolas" w:hAnsi="Consolas"/>
        </w:rPr>
        <w:t>Δw = 0.3·(extra labour-demand fraction)</w:t>
      </w:r>
      <w:r>
        <w:t xml:space="preserve">, </w:t>
      </w:r>
      <w:r>
        <w:rPr>
          <w:rFonts w:ascii="Consolas" w:hAnsi="Consolas"/>
        </w:rPr>
        <w:t>Δp = 0.2·(extra output fraction)</w:t>
      </w:r>
      <w:r>
        <w:t>, keeping the pipeline finite and bounded (a permanent regression test guards this path).</w:t>
      </w:r>
    </w:p>
    <w:p>
      <w:pPr>
        <w:pStyle w:val="Heading3"/>
      </w:pPr>
      <w:r>
        <w:t>3.6 Spatial allocation (Q2.5 regional growth)</w:t>
      </w:r>
    </w:p>
    <w:p>
      <w:r>
        <w:t xml:space="preserve">Sectoral jobs are allocated to the 11 NI Local Government Districts by a share matrix </w:t>
      </w:r>
      <w:r>
        <w:rPr>
          <w:rFonts w:ascii="Consolas" w:hAnsi="Consolas"/>
        </w:rPr>
        <w:t>S</w:t>
      </w:r>
      <w:r>
        <w:t xml:space="preserve"> (</w:t>
      </w:r>
      <w:r>
        <w:rPr>
          <w:rFonts w:ascii="Consolas" w:hAnsi="Consolas"/>
        </w:rPr>
        <w:t>Σ_d S_{d,i} = 1</w:t>
      </w:r>
      <w:r>
        <w:t xml:space="preserve">), blended 50/50 between population-tilted proxy shares and the confidence-/lifecycle-weighted named-firm headcount geography: </w:t>
      </w:r>
      <w:r>
        <w:rPr>
          <w:rFonts w:ascii="Consolas" w:hAnsi="Consolas"/>
        </w:rPr>
        <w:t>jobs_{d} = Σ_i S_{d,i} · jobs_i</w:t>
      </w:r>
      <w:r>
        <w:t>.</w:t>
      </w:r>
    </w:p>
    <w:p>
      <w:pPr>
        <w:pStyle w:val="Heading3"/>
      </w:pPr>
      <w:r>
        <w:t>3.7 Employment, skills &amp; retention (Q2.5)</w:t>
      </w:r>
    </w:p>
    <w:p>
      <w:r>
        <w:rPr>
          <w:rFonts w:ascii="Consolas" w:hAnsi="Consolas"/>
          <w:sz w:val="16"/>
        </w:rPr>
        <w:t>skill split (high/mid/entry) per sector from ONS SOC;  wage_w = NI_median · sector_index</w:t>
        <w:br/>
        <w:t>NI_median = £37,100 (NISRA ASHE 2025; £34,632 in 2024 retained as a sensitivity)</w:t>
        <w:br/>
        <w:t>retention  = min(0.98, 0.70 + 0.20·local_supplier_support + 0.10·skills_support)</w:t>
        <w:br/>
        <w:t>retained_jobs = retention · total_jobs ;     leakage = (1 − retention) · GVA</w:t>
      </w:r>
    </w:p>
    <w:p>
      <w:pPr>
        <w:pStyle w:val="Heading3"/>
      </w:pPr>
      <w:r>
        <w:t>3.8 Economic negative impacts (Q2.7)</w:t>
      </w:r>
    </w:p>
    <w:p>
      <w:r>
        <w:t xml:space="preserve">Five economic downsides of (primarily) primary extraction, each discounted; </w:t>
      </w:r>
      <w:r>
        <w:rPr>
          <w:rFonts w:ascii="Consolas" w:hAnsi="Consolas"/>
        </w:rPr>
        <w:t>m̂</w:t>
      </w:r>
      <w:r>
        <w:t xml:space="preserve"> = management intensity </w:t>
      </w:r>
      <w:r>
        <w:rPr>
          <w:rFonts w:ascii="Consolas" w:hAnsi="Consolas"/>
        </w:rPr>
        <w:t>clip(0.5·community_benefit + 0.5·min(1, esg_cost/0.18), 0, 1)</w:t>
      </w:r>
      <w:r>
        <w:t>:</w:t>
      </w:r>
    </w:p>
    <w:p>
      <w:r>
        <w:rPr>
          <w:rFonts w:ascii="Consolas" w:hAnsi="Consolas"/>
          <w:sz w:val="16"/>
        </w:rPr>
        <w:t>benefit_leakage      = (1 − retention) · minerals_GVA</w:t>
        <w:br/>
        <w:t>closure_liability    = mines_opened · £35m · (1 − m̂)                public if unbonded</w:t>
        <w:br/>
        <w:t>displacement         = (disc. active-mine-years) · £3m · (1 − 0.5·m̂)   agri + tourism</w:t>
        <w:br/>
        <w:t>boom_bust_VaR        = 0.30 · (end-year mining GVA)                  annual revenue-at-risk</w:t>
        <w:br/>
        <w:t>stranded_capital     = £250m · 0.5·(1 − 0.6·circular_hedge)   if a contested mine develops</w:t>
        <w:br/>
        <w:t>net_local_GVA        = discounted GVA − (leakage + closure_liability + displacement)</w:t>
      </w:r>
    </w:p>
    <w:p>
      <w:r>
        <w:t>Parameters (life-of-mine 18 yr, closure £35m/mine, agri+tourism £3m/mine-yr, volatility 0.30, contested capital £250m, base retention 0.70) are proxy/desk values in the register, grounded in the Minviro report (retained-employment §2.2.5; mine-closure §1.4.6.8; agriculture §3.4.2.4 / tourism §3.4.2.5; price volatility).</w:t>
      </w:r>
    </w:p>
    <w:p>
      <w:pPr>
        <w:pStyle w:val="Heading2"/>
      </w:pPr>
      <w:r>
        <w:t>4. Data and provenance</w:t>
      </w:r>
    </w:p>
    <w:p>
      <w:r>
        <w:t xml:space="preserve">Every parameter carries a status in </w:t>
      </w:r>
      <w:r>
        <w:rPr>
          <w:rFonts w:ascii="Consolas" w:hAnsi="Consolas"/>
        </w:rPr>
        <w:t>model/data/data_register.csv</w:t>
      </w:r>
      <w:r>
        <w:t xml:space="preserve"> (105 rows): 🟢 </w:t>
      </w:r>
      <w:r>
        <w:rPr>
          <w:b/>
        </w:rPr>
        <w:t>real</w:t>
      </w:r>
      <w:r>
        <w:t xml:space="preserve"> (sourced/audited) · 🟡 </w:t>
      </w:r>
      <w:r>
        <w:rPr>
          <w:b/>
        </w:rPr>
        <w:t>proxy</w:t>
      </w:r>
      <w:r>
        <w:t xml:space="preserve"> (desk/scaled) · 🔴 </w:t>
      </w:r>
      <w:r>
        <w:rPr>
          <w:b/>
        </w:rPr>
        <w:t>gap</w:t>
      </w:r>
      <w:r>
        <w:t xml:space="preserve"> (placeholder). The pattern is honest: validation anchors, targets and concentration figures are real; economic-structure and behavioural coefficients are proxy.</w:t>
      </w:r>
    </w:p>
    <w:p>
      <w:r>
        <w:rPr>
          <w:b/>
        </w:rPr>
        <w:t>Real anchors &amp; control totals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NI mining &amp; quarrying GVA (2018)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£108m (0.27% of NI GVA)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ONS Regional GVA / NISRA via Minviro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NI mining &amp; quarrying workers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1,950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NISRA BRES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NI total employee jobs (Sep 2023)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816,562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NISRA BRES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Minviro one-mine / two-mine anchors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73 jobs·£7.3m·£1.6m / 430·£43m·£9m p.a.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Minviro Final Report (Scen 3a / 4b)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STPR / mining WACC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3.5% / 11.26%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Green Book–NIGEAE / Minviro (CAPM)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Vision-2035 targets (2035)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≥10% domestic / ≥20% recycling / ≤60% single-country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Vision 2035 (GOV.UK)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EU-CRMA stretch (2030)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25% recycling / ≤65% single third country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European Commission CRMA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NI median FT wage (2025)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£37,100/yr (£713/wk)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NISRA ASHE 2025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2023 single-country concentration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REE 74% China, Co 70% DRC, Li 44% Australia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BGS/Idoine 2025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Top-three (2024) / refining / export controls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~86% / 19-of-20 ~70% / ~55%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IEA 2025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NI external trade (2024)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sales £109.3bn; exports £19.6bn; imports £11.2bn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NISRA NIETS 2024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Vision-2035 annex 2035 demand (t)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 3,619,000; Al 8,003,000; Ni 867,200; Li 339,200; Co 163,000; REE 37,940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Vision 2035 Technical Annex (Annex 2)</w:t>
            </w:r>
          </w:p>
        </w:tc>
      </w:tr>
    </w:tbl>
    <w:p>
      <w:r>
        <w:rPr>
          <w:b/>
        </w:rPr>
        <w:t>Firm evidence.</w:t>
      </w:r>
      <w:r>
        <w:t xml:space="preserve"> </w:t>
      </w:r>
      <w:r>
        <w:rPr>
          <w:rFonts w:ascii="Consolas" w:hAnsi="Consolas"/>
        </w:rPr>
        <w:t>company_register.csv</w:t>
      </w:r>
      <w:r>
        <w:t xml:space="preserve"> — 21 named NI operators (13 web-verified, 8 desk-verified) with role, district, lifecycle, employees, investment, capacity and eight 0–1 scores driving the ABM. Derived: £1,164m capital pipeline; 400 tpa installed REE recovery (Ionic).</w:t>
      </w:r>
    </w:p>
    <w:p>
      <w:r>
        <w:rPr>
          <w:b/>
        </w:rPr>
        <w:t>Key calibrated parameters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DOMESTIC_INTENSITY</w:t>
            </w:r>
            <w:r>
              <w:rPr>
                <w:sz w:val="16"/>
              </w:rPr>
              <w:t xml:space="preserve"> (A scaling)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0.62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mining GVA / employment coefficients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0.35 / 11.5 jobs·£m⁻¹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proxy, tuned to Minviro anchors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WAGE_SHARE_OF_GVA / LOCAL_CONSUMPTION_PROPENSITY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0.55 / 0.42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 (Type-II)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recovery yields REE/Li/Cu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0.85 / 0.50 / 0.90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desk-verified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WEEE collection ceiling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desk-verified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dev hurdle / social-licence floor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0.45 / 0.40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 behavioural thresholds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σ_Armington / σ_export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2.0 / 2.0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SAM factor split / savings / gov share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0.60–0.40 / 0.10 / 0.18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stockpile depth / release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 demand-yr (~180 d) / 0.30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calibrated to JOGMEC/KOMIR</w:t>
            </w:r>
          </w:p>
        </w:tc>
      </w:tr>
    </w:tbl>
    <w:p>
      <w:r>
        <w:rPr>
          <w:b/>
        </w:rPr>
        <w:t>Source documents:</w:t>
      </w:r>
      <w:r>
        <w:t xml:space="preserve"> UK Critical Minerals Strategy *Vision 2035* + *Technical Annex*; UK *Modern Industrial Strategy* (2025); EU *Critical Raw Materials Act*; GSNI/BGS *Critical Minerals &amp; the Circular Economy in NI* (OR25042); *Minviro Final Report* + *Appendix A*; BGS 2024 Criticality Assessment; NISRA (BRES, ASHE, NIETS); IEA 2025.</w:t>
      </w:r>
    </w:p>
    <w:p>
      <w:pPr>
        <w:pStyle w:val="Heading2"/>
      </w:pPr>
      <w:r>
        <w:t>5. Assumptions and limitations</w:t>
      </w:r>
    </w:p>
    <w:p>
      <w:r>
        <w:rPr>
          <w:b/>
        </w:rPr>
        <w:t>Structural / economic</w:t>
      </w:r>
    </w:p>
    <w:p>
      <w:pPr>
        <w:pStyle w:val="ListNumber"/>
      </w:pPr>
      <w:r>
        <w:t xml:space="preserve">The I-O coefficient matrix </w:t>
      </w:r>
      <w:r>
        <w:rPr>
          <w:rFonts w:ascii="Consolas" w:hAnsi="Consolas"/>
        </w:rPr>
        <w:t>A</w:t>
      </w:r>
      <w:r>
        <w:t xml:space="preserve"> is </w:t>
      </w:r>
      <w:r>
        <w:rPr>
          <w:b/>
        </w:rPr>
        <w:t>proxy</w:t>
      </w:r>
      <w:r>
        <w:t>, not a regionalised NI table — scaled for high import leakage and tuned to the Minviro anchors. *This is the single biggest calibration dependency* (replace with NISRA Supply-Use + Scottish 2017 I-O via FLQ + RAS).</w:t>
      </w:r>
    </w:p>
    <w:p>
      <w:pPr>
        <w:pStyle w:val="ListNumber"/>
      </w:pPr>
      <w:r>
        <w:t>The SAM structure is proxy (only mining GVA is a real anchor); the CGE is a compact reduced form with proxy elasticities (σ_A = σ_e = 2.0) and Cobb-Douglas (not CES) value added.</w:t>
      </w:r>
    </w:p>
    <w:p>
      <w:pPr>
        <w:pStyle w:val="ListNumber"/>
      </w:pPr>
      <w:r>
        <w:t>Multipliers/coefficients are calibrated to realistic ranges, not measured.</w:t>
      </w:r>
    </w:p>
    <w:p>
      <w:r>
        <w:rPr>
          <w:b/>
        </w:rPr>
        <w:t>Material-flow / behavioural</w:t>
      </w:r>
    </w:p>
    <w:p>
      <w:pPr>
        <w:pStyle w:val="ListNumber"/>
      </w:pPr>
      <w:r>
        <w:t>MFA stock-flow seeds are UK data scaled to NI; NI critical-mineral waste flows are a known gap. Commodity prices are indicative.</w:t>
      </w:r>
    </w:p>
    <w:p>
      <w:pPr>
        <w:pStyle w:val="ListNumber"/>
      </w:pPr>
      <w:r>
        <w:t xml:space="preserve">ABM thresholds (dev hurdle 0.45, social-licence floor 0.40, risk→delay, lever→effect coefficients) are </w:t>
      </w:r>
      <w:r>
        <w:rPr>
          <w:b/>
        </w:rPr>
        <w:t>proxy</w:t>
      </w:r>
      <w:r>
        <w:t xml:space="preserve"> and determine which marginal projects open — the first thing to calibrate with planning/licensing and firm-survey data.</w:t>
      </w:r>
    </w:p>
    <w:p>
      <w:pPr>
        <w:pStyle w:val="ListNumber"/>
      </w:pPr>
      <w:r>
        <w:t>Firm scores are desk estimates.</w:t>
      </w:r>
    </w:p>
    <w:p>
      <w:r>
        <w:rPr>
          <w:b/>
        </w:rPr>
        <w:t>Demand / shock / classification</w:t>
      </w:r>
    </w:p>
    <w:p>
      <w:pPr>
        <w:pStyle w:val="ListNumber"/>
      </w:pPr>
      <w:r>
        <w:t xml:space="preserve">The seven core Q2 experiments use a shared </w:t>
      </w:r>
      <w:r>
        <w:rPr>
          <w:rFonts w:ascii="Consolas" w:hAnsi="Consolas"/>
        </w:rPr>
        <w:t>GREEN_DEMAND</w:t>
      </w:r>
      <w:r>
        <w:t xml:space="preserve"> policy-growth path; the </w:t>
      </w:r>
      <w:r>
        <w:rPr>
          <w:b/>
        </w:rPr>
        <w:t>annex 2035 cumulative tonnages</w:t>
      </w:r>
      <w:r>
        <w:t xml:space="preserve"> anchor the separate demand-supply strategy experiment (the two layers are kept explicit).</w:t>
      </w:r>
    </w:p>
    <w:p>
      <w:pPr>
        <w:pStyle w:val="ListNumber"/>
      </w:pPr>
      <w:r>
        <w:t>The supply shock is a sustained (or onset-dated) import cap + price spike; the stockpile is a finite, depleting reserve.</w:t>
      </w:r>
    </w:p>
    <w:p>
      <w:pPr>
        <w:pStyle w:val="ListNumber"/>
      </w:pPr>
      <w:r>
        <w:t xml:space="preserve">Copper is treated as a UK </w:t>
      </w:r>
      <w:r>
        <w:rPr>
          <w:b/>
        </w:rPr>
        <w:t>growth</w:t>
      </w:r>
      <w:r>
        <w:t xml:space="preserve"> (not critical) mineral, kept in the basket but flagged so critical-mineral shares are not overstated; Q2.7 covers </w:t>
      </w:r>
      <w:r>
        <w:rPr>
          <w:b/>
        </w:rPr>
        <w:t>economic</w:t>
      </w:r>
      <w:r>
        <w:t xml:space="preserve"> negative impacts only (environmental CO₂/PM remain in the I-O satellites).</w:t>
      </w:r>
    </w:p>
    <w:p>
      <w:r>
        <w:rPr>
          <w:b/>
        </w:rPr>
        <w:t>Spatial / public-cost</w:t>
      </w:r>
    </w:p>
    <w:p>
      <w:pPr>
        <w:pStyle w:val="ListNumber"/>
      </w:pPr>
      <w:r>
        <w:t>District shares blend proxy population-tilted weights with named-firm geography (replace with NISRA BRES-by-district).</w:t>
      </w:r>
    </w:p>
    <w:p>
      <w:pPr>
        <w:pStyle w:val="ListNumber"/>
      </w:pPr>
      <w:r>
        <w:t>Lever public costs and ROI are NI-scale figures benchmarked to UK programmes for *relative* ranking, not budget lines (a ±cost band is carried).</w:t>
      </w:r>
    </w:p>
    <w:p>
      <w:pPr>
        <w:pStyle w:val="IntenseQuote"/>
      </w:pPr>
      <w:r>
        <w:rPr>
          <w:b/>
        </w:rPr>
        <w:t>Bottom line:</w:t>
      </w:r>
      <w:r>
        <w:t xml:space="preserve"> the model's structure, internal consistency and direction of travel are robust and validated; the absolute magnitudes are illustrative until the proxy economic/behavioural layer is replaced with collected NI data.</w:t>
      </w:r>
    </w:p>
    <w:p>
      <w:pPr>
        <w:pStyle w:val="Heading2"/>
      </w:pPr>
      <w:r>
        <w:t>6. Calibration, validation and verification</w:t>
      </w:r>
    </w:p>
    <w:p>
      <w:r>
        <w:rPr>
          <w:b/>
        </w:rPr>
        <w:t>(a) External calibration — Minviro anchors.</w:t>
      </w:r>
      <w:r>
        <w:t xml:space="preserve"> Injecting a mining final-demand shock sized to Minviro's one-mine (£7.3m) and two-mine (£43m) total output reproduces the published jobs and *direct* mining GVA: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Anchor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One mine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output / jobs / direct GVA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7.30 / 73.1 / 1.58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7.3 / 73 / 1.6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Two mines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output / jobs / direct GVA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43.0 / 430.4 / 9.29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43 / 430 / 9.0</w:t>
            </w:r>
          </w:p>
        </w:tc>
      </w:tr>
    </w:tbl>
    <w:p>
      <w:r>
        <w:rPr>
          <w:b/>
        </w:rPr>
        <w:t>(b) Verification harness — 61 checks</w:t>
      </w:r>
      <w:r>
        <w:t xml:space="preserve"> (</w:t>
      </w:r>
      <w:r>
        <w:rPr>
          <w:rFonts w:ascii="Consolas" w:hAnsi="Consolas"/>
        </w:rPr>
        <w:t>verify_model.py</w:t>
      </w:r>
      <w:r>
        <w:t xml:space="preserve">, gates CI). *Invariant:* MFA mass balance (baseline + shock), supply-share closure &amp; bounds, no NaN/negatives, determinism (identical config → byte-identical output), SAM balance (~1e-12) + mining-GVA anchor, CGE benchmark replication (w = 1.000), CGE PE-fallback, spatial share closure, stockpile non-negativity/depletion, register integrity, economic-sanity ranges, geopolitical features (diversification, time-varying shock), the IEA top-three/refining/export-control metrics (top-three ≥ single-country; bounded), and the Q2.7 economic-negative layer. *Property-based:* 30 random valid policy bundles must all preserve mass balance, share closure, no-NaN/negatives and a non-negative reserve. </w:t>
      </w:r>
      <w:r>
        <w:rPr>
          <w:b/>
        </w:rPr>
        <w:t>All 61 pass.</w:t>
      </w:r>
    </w:p>
    <w:p>
      <w:r>
        <w:rPr>
          <w:b/>
        </w:rPr>
        <w:t>(c) SAM/CGE benchmark.</w:t>
      </w:r>
      <w:r>
        <w:t xml:space="preserve"> SAM row=column to ~1e-12; CGE benchmark </w:t>
      </w:r>
      <w:r>
        <w:rPr>
          <w:rFonts w:ascii="Consolas" w:hAnsi="Consolas"/>
        </w:rPr>
        <w:t>max|excess demand| ≈ 0</w:t>
      </w:r>
      <w:r>
        <w:t>, base wage = 1.000.</w:t>
      </w:r>
    </w:p>
    <w:p>
      <w:pPr>
        <w:pStyle w:val="Heading2"/>
      </w:pPr>
      <w:r>
        <w:t>7. Reproducibility and file map</w:t>
      </w:r>
    </w:p>
    <w:p>
      <w:r>
        <w:rPr>
          <w:rFonts w:ascii="Consolas" w:hAnsi="Consolas"/>
          <w:sz w:val="16"/>
        </w:rPr>
        <w:t>cd model</w:t>
        <w:br/>
        <w:t>pip install -r requirements.txt</w:t>
        <w:br/>
        <w:t>python run_mvm.py                 # 6 scenario families → outputs/</w:t>
        <w:br/>
        <w:t>python verify_model.py            # 61 invariant + property-based checks</w:t>
        <w:br/>
        <w:t>python q2_1_circularity_interventions.py … q2_7_negative_impacts.py</w:t>
        <w:br/>
        <w:t>python q_demand_supply_strategy.py</w:t>
        <w:br/>
        <w:t>python make_supply_chain_fig.py &amp;&amp; python make_plots.py</w:t>
        <w:br/>
        <w:t>python validate_model_report.py   # validation artefacts + Word report</w:t>
        <w:br/>
        <w:t>python export_word.py             # Word exports → ../word/</w:t>
        <w:br/>
        <w:t>streamlit run ../streamlit_app.py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src/seed_parameters.py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sets, coefficients, anchors, targets (from the data register)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src/mfa_module.py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Material Flow Account (stock-flow, mass balance, shocks, IEA risk metrics)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src/abm_module.py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firm-grounded mesa agents (real-option mining, recycler, manufacturer)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src/io_module.py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dynamic Leontief I-O (Type I/II, satellites)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src/sam_module.py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balanced NI SAM builder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src/cge_module.py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recursive-dynamic CGE (+ PE fallback)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src/econ_impact_module.py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Q2.7 economic-negative-impact layer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src/employment_module.py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src/spatial_module.py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Q2.5 skills/wages · jobs→11 councils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src/coupling.py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annual ABM→MFA→I-O→CGE soft-link + discounting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src/indicators.py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Minviro validation + Q2.1–2.7 mapping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data/company_register.csv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data/data_register.csv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21 firms · parameter provenance</w:t>
            </w:r>
          </w:p>
        </w:tc>
      </w:tr>
    </w:tbl>
    <w:p>
      <w:r>
        <w:t xml:space="preserve">*Prepared as technical evidence supporting the DfE minerals &amp; circular-economy consultation. All figures are model behaviour under stated assumptions, not forecasts; parameter-level provenance and status are in </w:t>
      </w:r>
      <w:r>
        <w:rPr>
          <w:rFonts w:ascii="Consolas" w:hAnsi="Consolas"/>
        </w:rPr>
        <w:t>model/data/data_register.csv</w:t>
      </w:r>
      <w:r>
        <w:t xml:space="preserve">. A non-technical decision-maker overview is in </w:t>
      </w:r>
      <w:r>
        <w:rPr>
          <w:rFonts w:ascii="Consolas" w:hAnsi="Consolas"/>
        </w:rPr>
        <w:t>EXECUTIVE_SUMMARY.md</w:t>
      </w:r>
      <w:r>
        <w:t xml:space="preserve">; the integrated findings report is </w:t>
      </w:r>
      <w:r>
        <w:rPr>
          <w:rFonts w:ascii="Consolas" w:hAnsi="Consolas"/>
        </w:rPr>
        <w:t>NI_MINERALS_MODEL_REPORT.md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