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NI Circular Minerals Model Validation Report</w:t>
      </w:r>
    </w:p>
    <w:p>
      <w:pPr>
        <w:spacing w:after="240"/>
      </w:pPr>
      <w:r>
        <w:rPr>
          <w:color w:val="555555"/>
          <w:sz w:val="20"/>
        </w:rPr>
        <w:t>Generated 2026-06-18T20:22:45 | 61 passed, 0 failed, 61 checks total</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2F4F7"/>
          </w:tcPr>
          <w:p>
            <w:r/>
            <w:r>
              <w:rPr>
                <w:rFonts w:ascii="Calibri" w:hAnsi="Calibri"/>
                <w:b/>
                <w:sz w:val="18"/>
              </w:rPr>
              <w:t>Result</w:t>
            </w:r>
          </w:p>
        </w:tc>
        <w:tc>
          <w:tcPr>
            <w:tcW w:type="dxa" w:w="2340"/>
            <w:vAlign w:val="center"/>
            <w:shd w:fill="F2F4F7"/>
          </w:tcPr>
          <w:p>
            <w:r/>
            <w:r>
              <w:rPr>
                <w:rFonts w:ascii="Calibri" w:hAnsi="Calibri"/>
                <w:b/>
                <w:sz w:val="18"/>
              </w:rPr>
              <w:t>Passed</w:t>
            </w:r>
          </w:p>
        </w:tc>
        <w:tc>
          <w:tcPr>
            <w:tcW w:type="dxa" w:w="2340"/>
            <w:vAlign w:val="center"/>
            <w:shd w:fill="F2F4F7"/>
          </w:tcPr>
          <w:p>
            <w:r/>
            <w:r>
              <w:rPr>
                <w:rFonts w:ascii="Calibri" w:hAnsi="Calibri"/>
                <w:b/>
                <w:sz w:val="18"/>
              </w:rPr>
              <w:t>Failed</w:t>
            </w:r>
          </w:p>
        </w:tc>
        <w:tc>
          <w:tcPr>
            <w:tcW w:type="dxa" w:w="2340"/>
            <w:vAlign w:val="center"/>
            <w:shd w:fill="F2F4F7"/>
          </w:tcPr>
          <w:p>
            <w:r/>
            <w:r>
              <w:rPr>
                <w:rFonts w:ascii="Calibri" w:hAnsi="Calibri"/>
                <w:b/>
                <w:sz w:val="18"/>
              </w:rPr>
              <w:t>Total checks</w:t>
            </w:r>
          </w:p>
        </w:tc>
      </w:tr>
      <w:tr>
        <w:tc>
          <w:tcPr>
            <w:tcW w:type="dxa" w:w="2340"/>
            <w:vAlign w:val="center"/>
          </w:tcPr>
          <w:p>
            <w:r/>
            <w:r>
              <w:rPr>
                <w:rFonts w:ascii="Calibri" w:hAnsi="Calibri"/>
                <w:b/>
                <w:color w:val="1F7A1F"/>
                <w:sz w:val="18"/>
              </w:rPr>
              <w:t>PASS</w:t>
            </w:r>
          </w:p>
        </w:tc>
        <w:tc>
          <w:tcPr>
            <w:tcW w:type="dxa" w:w="2340"/>
            <w:vAlign w:val="center"/>
          </w:tcPr>
          <w:p>
            <w:r/>
            <w:r>
              <w:rPr>
                <w:rFonts w:ascii="Calibri" w:hAnsi="Calibri"/>
                <w:b w:val="0"/>
                <w:color w:val="1F7A1F"/>
                <w:sz w:val="18"/>
              </w:rPr>
              <w:t>61</w:t>
            </w:r>
          </w:p>
        </w:tc>
        <w:tc>
          <w:tcPr>
            <w:tcW w:type="dxa" w:w="2340"/>
            <w:vAlign w:val="center"/>
          </w:tcPr>
          <w:p>
            <w:r/>
            <w:r>
              <w:rPr>
                <w:rFonts w:ascii="Calibri" w:hAnsi="Calibri"/>
                <w:b w:val="0"/>
                <w:color w:val="1F7A1F"/>
                <w:sz w:val="18"/>
              </w:rPr>
              <w:t>0</w:t>
            </w:r>
          </w:p>
        </w:tc>
        <w:tc>
          <w:tcPr>
            <w:tcW w:type="dxa" w:w="2340"/>
            <w:vAlign w:val="center"/>
          </w:tcPr>
          <w:p>
            <w:r/>
            <w:r>
              <w:rPr>
                <w:rFonts w:ascii="Calibri" w:hAnsi="Calibri"/>
                <w:b w:val="0"/>
                <w:color w:val="1F7A1F"/>
                <w:sz w:val="18"/>
              </w:rPr>
              <w:t>61</w:t>
            </w:r>
          </w:p>
        </w:tc>
      </w:tr>
    </w:tbl>
    <w:p>
      <w:pPr>
        <w:pStyle w:val="Heading1"/>
      </w:pPr>
      <w:r>
        <w:t>How the validation is designed</w:t>
      </w:r>
    </w:p>
    <w:p>
      <w:r>
        <w:t>The validation is layered so that the model is tested from the inside out: external calibration first, then physical and accounting identities, then numerical integrity, reproducibility, economic benchmark replication, policy behaviour and randomized stress testing. This combination is intended to catch both calibration drift and hidden implementation failures.</w:t>
      </w:r>
    </w:p>
    <w:tbl>
      <w:tblPr>
        <w:tblStyle w:val="TableGrid"/>
        <w:tblW w:type="auto" w:w="0"/>
        <w:tblLook w:firstColumn="1" w:firstRow="1" w:lastColumn="0" w:lastRow="0" w:noHBand="0" w:noVBand="1" w:val="04A0"/>
      </w:tblPr>
      <w:tblGrid>
        <w:gridCol w:w="1944"/>
        <w:gridCol w:w="2520"/>
        <w:gridCol w:w="3240"/>
        <w:gridCol w:w="1656"/>
      </w:tblGrid>
      <w:tr>
        <w:tc>
          <w:tcPr>
            <w:tcW w:type="dxa" w:w="2340"/>
            <w:vAlign w:val="center"/>
            <w:shd w:fill="F2F4F7"/>
          </w:tcPr>
          <w:p>
            <w:r/>
            <w:r>
              <w:rPr>
                <w:rFonts w:ascii="Calibri" w:hAnsi="Calibri"/>
                <w:b/>
                <w:sz w:val="18"/>
              </w:rPr>
              <w:t>Layer</w:t>
            </w:r>
          </w:p>
        </w:tc>
        <w:tc>
          <w:tcPr>
            <w:tcW w:type="dxa" w:w="2340"/>
            <w:vAlign w:val="center"/>
            <w:shd w:fill="F2F4F7"/>
          </w:tcPr>
          <w:p>
            <w:r/>
            <w:r>
              <w:rPr>
                <w:rFonts w:ascii="Calibri" w:hAnsi="Calibri"/>
                <w:b/>
                <w:sz w:val="18"/>
              </w:rPr>
              <w:t>Purpose</w:t>
            </w:r>
          </w:p>
        </w:tc>
        <w:tc>
          <w:tcPr>
            <w:tcW w:type="dxa" w:w="2340"/>
            <w:vAlign w:val="center"/>
            <w:shd w:fill="F2F4F7"/>
          </w:tcPr>
          <w:p>
            <w:r/>
            <w:r>
              <w:rPr>
                <w:rFonts w:ascii="Calibri" w:hAnsi="Calibri"/>
                <w:b/>
                <w:sz w:val="18"/>
              </w:rPr>
              <w:t>Evidence used</w:t>
            </w:r>
          </w:p>
        </w:tc>
        <w:tc>
          <w:tcPr>
            <w:tcW w:type="dxa" w:w="2340"/>
            <w:vAlign w:val="center"/>
            <w:shd w:fill="F2F4F7"/>
          </w:tcPr>
          <w:p>
            <w:r/>
            <w:r>
              <w:rPr>
                <w:rFonts w:ascii="Calibri" w:hAnsi="Calibri"/>
                <w:b/>
                <w:sz w:val="18"/>
              </w:rPr>
              <w:t>Pass rule</w:t>
            </w:r>
          </w:p>
        </w:tc>
      </w:tr>
      <w:tr>
        <w:tc>
          <w:tcPr>
            <w:tcW w:type="dxa" w:w="1944"/>
            <w:vAlign w:val="center"/>
          </w:tcPr>
          <w:p>
            <w:r/>
            <w:r>
              <w:rPr>
                <w:rFonts w:ascii="Calibri" w:hAnsi="Calibri"/>
                <w:b/>
                <w:sz w:val="18"/>
              </w:rPr>
              <w:t>External calibration</w:t>
            </w:r>
          </w:p>
        </w:tc>
        <w:tc>
          <w:tcPr>
            <w:tcW w:type="dxa" w:w="2520"/>
            <w:vAlign w:val="center"/>
          </w:tcPr>
          <w:p>
            <w:r/>
            <w:r>
              <w:rPr>
                <w:rFonts w:ascii="Calibri" w:hAnsi="Calibri"/>
                <w:b w:val="0"/>
                <w:sz w:val="18"/>
              </w:rPr>
              <w:t>Check that the Input-Output core reproduces Minviro scenario anchors.</w:t>
            </w:r>
          </w:p>
        </w:tc>
        <w:tc>
          <w:tcPr>
            <w:tcW w:type="dxa" w:w="3240"/>
            <w:vAlign w:val="center"/>
          </w:tcPr>
          <w:p>
            <w:r/>
            <w:r>
              <w:rPr>
                <w:rFonts w:ascii="Calibri" w:hAnsi="Calibri"/>
                <w:b w:val="0"/>
                <w:sz w:val="18"/>
              </w:rPr>
              <w:t>One-mine and two-mine output, jobs and direct mining GVA are compared against published anchors.</w:t>
            </w:r>
          </w:p>
        </w:tc>
        <w:tc>
          <w:tcPr>
            <w:tcW w:type="dxa" w:w="1656"/>
            <w:vAlign w:val="center"/>
          </w:tcPr>
          <w:p>
            <w:r/>
            <w:r>
              <w:rPr>
                <w:rFonts w:ascii="Calibri" w:hAnsi="Calibri"/>
                <w:b w:val="0"/>
                <w:sz w:val="18"/>
              </w:rPr>
              <w:t>Output within GBP0.15m, jobs within 1 job, direct mining GVA within 5%.</w:t>
            </w:r>
          </w:p>
        </w:tc>
      </w:tr>
      <w:tr>
        <w:tc>
          <w:tcPr>
            <w:tcW w:type="dxa" w:w="1944"/>
            <w:vAlign w:val="center"/>
          </w:tcPr>
          <w:p>
            <w:r/>
            <w:r>
              <w:rPr>
                <w:rFonts w:ascii="Calibri" w:hAnsi="Calibri"/>
                <w:b/>
                <w:sz w:val="18"/>
              </w:rPr>
              <w:t>Physical consistency</w:t>
            </w:r>
          </w:p>
        </w:tc>
        <w:tc>
          <w:tcPr>
            <w:tcW w:type="dxa" w:w="2520"/>
            <w:vAlign w:val="center"/>
          </w:tcPr>
          <w:p>
            <w:r/>
            <w:r>
              <w:rPr>
                <w:rFonts w:ascii="Calibri" w:hAnsi="Calibri"/>
                <w:b w:val="0"/>
                <w:sz w:val="18"/>
              </w:rPr>
              <w:t>Confirm that the Material Flow Account conserves material under baseline and disrupted supply.</w:t>
            </w:r>
          </w:p>
        </w:tc>
        <w:tc>
          <w:tcPr>
            <w:tcW w:type="dxa" w:w="3240"/>
            <w:vAlign w:val="center"/>
          </w:tcPr>
          <w:p>
            <w:r/>
            <w:r>
              <w:rPr>
                <w:rFonts w:ascii="Calibri" w:hAnsi="Calibri"/>
                <w:b w:val="0"/>
                <w:sz w:val="18"/>
              </w:rPr>
              <w:t>Domestic supply, imports, secondary recovery and unmet demand are checked for every mineral-year.</w:t>
            </w:r>
          </w:p>
        </w:tc>
        <w:tc>
          <w:tcPr>
            <w:tcW w:type="dxa" w:w="1656"/>
            <w:vAlign w:val="center"/>
          </w:tcPr>
          <w:p>
            <w:r/>
            <w:r>
              <w:rPr>
                <w:rFonts w:ascii="Calibri" w:hAnsi="Calibri"/>
                <w:b w:val="0"/>
                <w:sz w:val="18"/>
              </w:rPr>
              <w:t>Mass-balance flags must all pass and supply shares must be bounded and sum to 1.</w:t>
            </w:r>
          </w:p>
        </w:tc>
      </w:tr>
      <w:tr>
        <w:tc>
          <w:tcPr>
            <w:tcW w:type="dxa" w:w="1944"/>
            <w:vAlign w:val="center"/>
          </w:tcPr>
          <w:p>
            <w:r/>
            <w:r>
              <w:rPr>
                <w:rFonts w:ascii="Calibri" w:hAnsi="Calibri"/>
                <w:b/>
                <w:sz w:val="18"/>
              </w:rPr>
              <w:t>Numerical integrity</w:t>
            </w:r>
          </w:p>
        </w:tc>
        <w:tc>
          <w:tcPr>
            <w:tcW w:type="dxa" w:w="2520"/>
            <w:vAlign w:val="center"/>
          </w:tcPr>
          <w:p>
            <w:r/>
            <w:r>
              <w:rPr>
                <w:rFonts w:ascii="Calibri" w:hAnsi="Calibri"/>
                <w:b w:val="0"/>
                <w:sz w:val="18"/>
              </w:rPr>
              <w:t>Detect model-breakage symptoms before interpreting results.</w:t>
            </w:r>
          </w:p>
        </w:tc>
        <w:tc>
          <w:tcPr>
            <w:tcW w:type="dxa" w:w="3240"/>
            <w:vAlign w:val="center"/>
          </w:tcPr>
          <w:p>
            <w:r/>
            <w:r>
              <w:rPr>
                <w:rFonts w:ascii="Calibri" w:hAnsi="Calibri"/>
                <w:b w:val="0"/>
                <w:sz w:val="18"/>
              </w:rPr>
              <w:t>Scenario outputs are screened for NaN, infinity and negative values in key economic and environmental series.</w:t>
            </w:r>
          </w:p>
        </w:tc>
        <w:tc>
          <w:tcPr>
            <w:tcW w:type="dxa" w:w="1656"/>
            <w:vAlign w:val="center"/>
          </w:tcPr>
          <w:p>
            <w:r/>
            <w:r>
              <w:rPr>
                <w:rFonts w:ascii="Calibri" w:hAnsi="Calibri"/>
                <w:b w:val="0"/>
                <w:sz w:val="18"/>
              </w:rPr>
              <w:t>No invalid values and no negative jobs, GVA, output or CO2.</w:t>
            </w:r>
          </w:p>
        </w:tc>
      </w:tr>
      <w:tr>
        <w:tc>
          <w:tcPr>
            <w:tcW w:type="dxa" w:w="1944"/>
            <w:vAlign w:val="center"/>
          </w:tcPr>
          <w:p>
            <w:r/>
            <w:r>
              <w:rPr>
                <w:rFonts w:ascii="Calibri" w:hAnsi="Calibri"/>
                <w:b/>
                <w:sz w:val="18"/>
              </w:rPr>
              <w:t>Repeatability</w:t>
            </w:r>
          </w:p>
        </w:tc>
        <w:tc>
          <w:tcPr>
            <w:tcW w:type="dxa" w:w="2520"/>
            <w:vAlign w:val="center"/>
          </w:tcPr>
          <w:p>
            <w:r/>
            <w:r>
              <w:rPr>
                <w:rFonts w:ascii="Calibri" w:hAnsi="Calibri"/>
                <w:b w:val="0"/>
                <w:sz w:val="18"/>
              </w:rPr>
              <w:t>Make sure results are reproducible for the same configuration and seed.</w:t>
            </w:r>
          </w:p>
        </w:tc>
        <w:tc>
          <w:tcPr>
            <w:tcW w:type="dxa" w:w="3240"/>
            <w:vAlign w:val="center"/>
          </w:tcPr>
          <w:p>
            <w:r/>
            <w:r>
              <w:rPr>
                <w:rFonts w:ascii="Calibri" w:hAnsi="Calibri"/>
                <w:b w:val="0"/>
                <w:sz w:val="18"/>
              </w:rPr>
              <w:t>Two identical runs are compared on cumulative GVA and the full numeric time series.</w:t>
            </w:r>
          </w:p>
        </w:tc>
        <w:tc>
          <w:tcPr>
            <w:tcW w:type="dxa" w:w="1656"/>
            <w:vAlign w:val="center"/>
          </w:tcPr>
          <w:p>
            <w:r/>
            <w:r>
              <w:rPr>
                <w:rFonts w:ascii="Calibri" w:hAnsi="Calibri"/>
                <w:b w:val="0"/>
                <w:sz w:val="18"/>
              </w:rPr>
              <w:t>Cumulative GVA and time-series arrays must match within numerical tolerance.</w:t>
            </w:r>
          </w:p>
        </w:tc>
      </w:tr>
      <w:tr>
        <w:tc>
          <w:tcPr>
            <w:tcW w:type="dxa" w:w="1944"/>
            <w:vAlign w:val="center"/>
          </w:tcPr>
          <w:p>
            <w:r/>
            <w:r>
              <w:rPr>
                <w:rFonts w:ascii="Calibri" w:hAnsi="Calibri"/>
                <w:b/>
                <w:sz w:val="18"/>
              </w:rPr>
              <w:t>Economic structure</w:t>
            </w:r>
          </w:p>
        </w:tc>
        <w:tc>
          <w:tcPr>
            <w:tcW w:type="dxa" w:w="2520"/>
            <w:vAlign w:val="center"/>
          </w:tcPr>
          <w:p>
            <w:r/>
            <w:r>
              <w:rPr>
                <w:rFonts w:ascii="Calibri" w:hAnsi="Calibri"/>
                <w:b w:val="0"/>
                <w:sz w:val="18"/>
              </w:rPr>
              <w:t>Check the SAM, CGE and multiplier logic against benchmark expectations.</w:t>
            </w:r>
          </w:p>
        </w:tc>
        <w:tc>
          <w:tcPr>
            <w:tcW w:type="dxa" w:w="3240"/>
            <w:vAlign w:val="center"/>
          </w:tcPr>
          <w:p>
            <w:r/>
            <w:r>
              <w:rPr>
                <w:rFonts w:ascii="Calibri" w:hAnsi="Calibri"/>
                <w:b w:val="0"/>
                <w:sz w:val="18"/>
              </w:rPr>
              <w:t>SAM row/column balance, mining GVA anchor, CGE no-shock wage replication and multiplier ranges.</w:t>
            </w:r>
          </w:p>
        </w:tc>
        <w:tc>
          <w:tcPr>
            <w:tcW w:type="dxa" w:w="1656"/>
            <w:vAlign w:val="center"/>
          </w:tcPr>
          <w:p>
            <w:r/>
            <w:r>
              <w:rPr>
                <w:rFonts w:ascii="Calibri" w:hAnsi="Calibri"/>
                <w:b w:val="0"/>
                <w:sz w:val="18"/>
              </w:rPr>
              <w:t>Balance error near zero, benchmark replication successful and multipliers in plausible ranges.</w:t>
            </w:r>
          </w:p>
        </w:tc>
      </w:tr>
      <w:tr>
        <w:tc>
          <w:tcPr>
            <w:tcW w:type="dxa" w:w="1944"/>
            <w:vAlign w:val="center"/>
          </w:tcPr>
          <w:p>
            <w:r/>
            <w:r>
              <w:rPr>
                <w:rFonts w:ascii="Calibri" w:hAnsi="Calibri"/>
                <w:b/>
                <w:sz w:val="18"/>
              </w:rPr>
              <w:t>Behavioural features</w:t>
            </w:r>
          </w:p>
        </w:tc>
        <w:tc>
          <w:tcPr>
            <w:tcW w:type="dxa" w:w="2520"/>
            <w:vAlign w:val="center"/>
          </w:tcPr>
          <w:p>
            <w:r/>
            <w:r>
              <w:rPr>
                <w:rFonts w:ascii="Calibri" w:hAnsi="Calibri"/>
                <w:b w:val="0"/>
                <w:sz w:val="18"/>
              </w:rPr>
              <w:t>Verify that policy and shock mechanisms move in the intended direction.</w:t>
            </w:r>
          </w:p>
        </w:tc>
        <w:tc>
          <w:tcPr>
            <w:tcW w:type="dxa" w:w="3240"/>
            <w:vAlign w:val="center"/>
          </w:tcPr>
          <w:p>
            <w:r/>
            <w:r>
              <w:rPr>
                <w:rFonts w:ascii="Calibri" w:hAnsi="Calibri"/>
                <w:b w:val="0"/>
                <w:sz w:val="18"/>
              </w:rPr>
              <w:t>Stockpile depletion, diversification exposure, time-varying shock onset, the IEA-2025 top-three/refining/export-control risk indices, and impact-layer response.</w:t>
            </w:r>
          </w:p>
        </w:tc>
        <w:tc>
          <w:tcPr>
            <w:tcW w:type="dxa" w:w="1656"/>
            <w:vAlign w:val="center"/>
          </w:tcPr>
          <w:p>
            <w:r/>
            <w:r>
              <w:rPr>
                <w:rFonts w:ascii="Calibri" w:hAnsi="Calibri"/>
                <w:b w:val="0"/>
                <w:sz w:val="18"/>
              </w:rPr>
              <w:t>Directional tests must pass without violating reserves, shares or output bounds; top-three exposure &gt;= single-country and the refining/export-control indices stay bounded.</w:t>
            </w:r>
          </w:p>
        </w:tc>
      </w:tr>
      <w:tr>
        <w:tc>
          <w:tcPr>
            <w:tcW w:type="dxa" w:w="1944"/>
            <w:vAlign w:val="center"/>
          </w:tcPr>
          <w:p>
            <w:r/>
            <w:r>
              <w:rPr>
                <w:rFonts w:ascii="Calibri" w:hAnsi="Calibri"/>
                <w:b/>
                <w:sz w:val="18"/>
              </w:rPr>
              <w:t>Solver robustness</w:t>
            </w:r>
          </w:p>
        </w:tc>
        <w:tc>
          <w:tcPr>
            <w:tcW w:type="dxa" w:w="2520"/>
            <w:vAlign w:val="center"/>
          </w:tcPr>
          <w:p>
            <w:r/>
            <w:r>
              <w:rPr>
                <w:rFonts w:ascii="Calibri" w:hAnsi="Calibri"/>
                <w:b w:val="0"/>
                <w:sz w:val="18"/>
              </w:rPr>
              <w:t>Confirm the model degrades gracefully if the full CGE solve fails.</w:t>
            </w:r>
          </w:p>
        </w:tc>
        <w:tc>
          <w:tcPr>
            <w:tcW w:type="dxa" w:w="3240"/>
            <w:vAlign w:val="center"/>
          </w:tcPr>
          <w:p>
            <w:r/>
            <w:r>
              <w:rPr>
                <w:rFonts w:ascii="Calibri" w:hAnsi="Calibri"/>
                <w:b w:val="0"/>
                <w:sz w:val="18"/>
              </w:rPr>
              <w:t>The CGE solve is forced to fail and the run is checked for the partial-equilibrium fallback path.</w:t>
            </w:r>
          </w:p>
        </w:tc>
        <w:tc>
          <w:tcPr>
            <w:tcW w:type="dxa" w:w="1656"/>
            <w:vAlign w:val="center"/>
          </w:tcPr>
          <w:p>
            <w:r/>
            <w:r>
              <w:rPr>
                <w:rFonts w:ascii="Calibri" w:hAnsi="Calibri"/>
                <w:b w:val="0"/>
                <w:sz w:val="18"/>
              </w:rPr>
              <w:t>All steps route to the PE fallback with no NaN, bounded price feedback and intact mass balance.</w:t>
            </w:r>
          </w:p>
        </w:tc>
      </w:tr>
      <w:tr>
        <w:tc>
          <w:tcPr>
            <w:tcW w:type="dxa" w:w="1944"/>
            <w:vAlign w:val="center"/>
          </w:tcPr>
          <w:p>
            <w:r/>
            <w:r>
              <w:rPr>
                <w:rFonts w:ascii="Calibri" w:hAnsi="Calibri"/>
                <w:b/>
                <w:sz w:val="18"/>
              </w:rPr>
              <w:t>Economic-negative impacts</w:t>
            </w:r>
          </w:p>
        </w:tc>
        <w:tc>
          <w:tcPr>
            <w:tcW w:type="dxa" w:w="2520"/>
            <w:vAlign w:val="center"/>
          </w:tcPr>
          <w:p>
            <w:r/>
            <w:r>
              <w:rPr>
                <w:rFonts w:ascii="Calibri" w:hAnsi="Calibri"/>
                <w:b w:val="0"/>
                <w:sz w:val="18"/>
              </w:rPr>
              <w:t>Check the Q2.7 economic-downside logic moves in the intended direction.</w:t>
            </w:r>
          </w:p>
        </w:tc>
        <w:tc>
          <w:tcPr>
            <w:tcW w:type="dxa" w:w="3240"/>
            <w:vAlign w:val="center"/>
          </w:tcPr>
          <w:p>
            <w:r/>
            <w:r>
              <w:rPr>
                <w:rFonts w:ascii="Calibri" w:hAnsi="Calibri"/>
                <w:b w:val="0"/>
                <w:sz w:val="18"/>
              </w:rPr>
              <w:t>Benefit leakage vs retention, closure liability vs management/bonding, agri/tourism displacement and contested stranded-capital exposure.</w:t>
            </w:r>
          </w:p>
        </w:tc>
        <w:tc>
          <w:tcPr>
            <w:tcW w:type="dxa" w:w="1656"/>
            <w:vAlign w:val="center"/>
          </w:tcPr>
          <w:p>
            <w:r/>
            <w:r>
              <w:rPr>
                <w:rFonts w:ascii="Calibri" w:hAnsi="Calibri"/>
                <w:b w:val="0"/>
                <w:sz w:val="18"/>
              </w:rPr>
              <w:t>Leakage/closure/displacement are non-negative and fall with retention/management; stranded capital is zero without a mine and positive with a contested one.</w:t>
            </w:r>
          </w:p>
        </w:tc>
      </w:tr>
      <w:tr>
        <w:tc>
          <w:tcPr>
            <w:tcW w:type="dxa" w:w="1944"/>
            <w:vAlign w:val="center"/>
          </w:tcPr>
          <w:p>
            <w:r/>
            <w:r>
              <w:rPr>
                <w:rFonts w:ascii="Calibri" w:hAnsi="Calibri"/>
                <w:b/>
                <w:sz w:val="18"/>
              </w:rPr>
              <w:t>Stress testing</w:t>
            </w:r>
          </w:p>
        </w:tc>
        <w:tc>
          <w:tcPr>
            <w:tcW w:type="dxa" w:w="2520"/>
            <w:vAlign w:val="center"/>
          </w:tcPr>
          <w:p>
            <w:r/>
            <w:r>
              <w:rPr>
                <w:rFonts w:ascii="Calibri" w:hAnsi="Calibri"/>
                <w:b w:val="0"/>
                <w:sz w:val="18"/>
              </w:rPr>
              <w:t>Exercise the model across random but valid policy bundles and shocks.</w:t>
            </w:r>
          </w:p>
        </w:tc>
        <w:tc>
          <w:tcPr>
            <w:tcW w:type="dxa" w:w="3240"/>
            <w:vAlign w:val="center"/>
          </w:tcPr>
          <w:p>
            <w:r/>
            <w:r>
              <w:rPr>
                <w:rFonts w:ascii="Calibri" w:hAnsi="Calibri"/>
                <w:b w:val="0"/>
                <w:sz w:val="18"/>
              </w:rPr>
              <w:t>Thirty fuzz configurations vary policies, demand growth, import caps, price paths and CGE use.</w:t>
            </w:r>
          </w:p>
        </w:tc>
        <w:tc>
          <w:tcPr>
            <w:tcW w:type="dxa" w:w="1656"/>
            <w:vAlign w:val="center"/>
          </w:tcPr>
          <w:p>
            <w:r/>
            <w:r>
              <w:rPr>
                <w:rFonts w:ascii="Calibri" w:hAnsi="Calibri"/>
                <w:b w:val="0"/>
                <w:sz w:val="18"/>
              </w:rPr>
              <w:t>Every random configuration must run and preserve the core invariants.</w:t>
            </w:r>
          </w:p>
        </w:tc>
      </w:tr>
    </w:tbl>
    <w:p>
      <w:pPr>
        <w:pStyle w:val="Heading1"/>
      </w:pPr>
      <w:r>
        <w:t>Validation result</w:t>
      </w:r>
    </w:p>
    <w:p>
      <w:r>
        <w:t>All implemented checks passed in this run. The result supports using the current model outputs for scenario-comparison and policy-design analysis, subject to the data limitations documented in the model.</w:t>
      </w:r>
    </w:p>
    <w:p>
      <w:pPr>
        <w:pStyle w:val="Heading1"/>
      </w:pPr>
      <w:r>
        <w:t>Check-level results</w:t>
      </w:r>
    </w:p>
    <w:p>
      <w:r>
        <w:t>The table below lists every automated check, its status and the diagnostic detail produced by the validation harness.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18"/>
              </w:rPr>
              <w:t>Status</w:t>
            </w:r>
          </w:p>
        </w:tc>
        <w:tc>
          <w:tcPr>
            <w:tcW w:type="dxa" w:w="3120"/>
            <w:vAlign w:val="center"/>
            <w:shd w:fill="F2F4F7"/>
          </w:tcPr>
          <w:p>
            <w:r/>
            <w:r>
              <w:rPr>
                <w:rFonts w:ascii="Calibri" w:hAnsi="Calibri"/>
                <w:b/>
                <w:sz w:val="18"/>
              </w:rPr>
              <w:t>Check</w:t>
            </w:r>
          </w:p>
        </w:tc>
        <w:tc>
          <w:tcPr>
            <w:tcW w:type="dxa" w:w="3120"/>
            <w:vAlign w:val="center"/>
            <w:shd w:fill="F2F4F7"/>
          </w:tcPr>
          <w:p>
            <w:r/>
            <w:r>
              <w:rPr>
                <w:rFonts w:ascii="Calibri" w:hAnsi="Calibri"/>
                <w:b/>
                <w:sz w:val="18"/>
              </w:rPr>
              <w:t>Diagnostic detail</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one_mine: output matches anchor</w:t>
            </w:r>
          </w:p>
        </w:tc>
        <w:tc>
          <w:tcPr>
            <w:tcW w:type="dxa" w:w="3120"/>
            <w:vAlign w:val="center"/>
          </w:tcPr>
          <w:p>
            <w:r/>
            <w:r>
              <w:rPr>
                <w:rFonts w:ascii="Calibri" w:hAnsi="Calibri"/>
                <w:b w:val="0"/>
                <w:sz w:val="18"/>
              </w:rPr>
              <w:t>model 7.30 vs 7.3</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one_mine: jobs within 1 of anchor</w:t>
            </w:r>
          </w:p>
        </w:tc>
        <w:tc>
          <w:tcPr>
            <w:tcW w:type="dxa" w:w="3120"/>
            <w:vAlign w:val="center"/>
          </w:tcPr>
          <w:p>
            <w:r/>
            <w:r>
              <w:rPr>
                <w:rFonts w:ascii="Calibri" w:hAnsi="Calibri"/>
                <w:b w:val="0"/>
                <w:sz w:val="18"/>
              </w:rPr>
              <w:t>model 73.1 vs 73.0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one_mine: direct mining GVA within 5% of anchor</w:t>
            </w:r>
          </w:p>
        </w:tc>
        <w:tc>
          <w:tcPr>
            <w:tcW w:type="dxa" w:w="3120"/>
            <w:vAlign w:val="center"/>
          </w:tcPr>
          <w:p>
            <w:r/>
            <w:r>
              <w:rPr>
                <w:rFonts w:ascii="Calibri" w:hAnsi="Calibri"/>
                <w:b w:val="0"/>
                <w:sz w:val="18"/>
              </w:rPr>
              <w:t>model 1.58 vs 1.6</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two_mine_4b: output matches anchor</w:t>
            </w:r>
          </w:p>
        </w:tc>
        <w:tc>
          <w:tcPr>
            <w:tcW w:type="dxa" w:w="3120"/>
            <w:vAlign w:val="center"/>
          </w:tcPr>
          <w:p>
            <w:r/>
            <w:r>
              <w:rPr>
                <w:rFonts w:ascii="Calibri" w:hAnsi="Calibri"/>
                <w:b w:val="0"/>
                <w:sz w:val="18"/>
              </w:rPr>
              <w:t>model 43.00 vs 43.0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two_mine_4b: jobs within 1 of anchor</w:t>
            </w:r>
          </w:p>
        </w:tc>
        <w:tc>
          <w:tcPr>
            <w:tcW w:type="dxa" w:w="3120"/>
            <w:vAlign w:val="center"/>
          </w:tcPr>
          <w:p>
            <w:r/>
            <w:r>
              <w:rPr>
                <w:rFonts w:ascii="Calibri" w:hAnsi="Calibri"/>
                <w:b w:val="0"/>
                <w:sz w:val="18"/>
              </w:rPr>
              <w:t>model 430.4 vs 430.0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two_mine_4b: direct mining GVA within 5% of anchor</w:t>
            </w:r>
          </w:p>
        </w:tc>
        <w:tc>
          <w:tcPr>
            <w:tcW w:type="dxa" w:w="3120"/>
            <w:vAlign w:val="center"/>
          </w:tcPr>
          <w:p>
            <w:r/>
            <w:r>
              <w:rPr>
                <w:rFonts w:ascii="Calibri" w:hAnsi="Calibri"/>
                <w:b w:val="0"/>
                <w:sz w:val="18"/>
              </w:rPr>
              <w:t>model 9.29 vs 9.0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baseline: all mass balances close</w:t>
            </w:r>
          </w:p>
        </w:tc>
        <w:tc>
          <w:tcPr>
            <w:tcW w:type="dxa" w:w="3120"/>
            <w:vAlign w:val="center"/>
          </w:tcPr>
          <w:p>
            <w:r/>
            <w:r>
              <w:rPr>
                <w:rFonts w:ascii="Calibri" w:hAnsi="Calibri"/>
                <w:b w:val="0"/>
                <w:sz w:val="18"/>
              </w:rPr>
              <w:t>300/300 rows</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shock: all mass balances close (domestic+imports+secondary+unmet=demand)</w:t>
            </w:r>
          </w:p>
        </w:tc>
        <w:tc>
          <w:tcPr>
            <w:tcW w:type="dxa" w:w="3120"/>
            <w:vAlign w:val="center"/>
          </w:tcPr>
          <w:p>
            <w:r/>
            <w:r>
              <w:rPr>
                <w:rFonts w:ascii="Calibri" w:hAnsi="Calibri"/>
                <w:b w:val="0"/>
                <w:sz w:val="18"/>
              </w:rPr>
              <w:t>300/300 rows</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no unmet demand without a shock</w:t>
            </w:r>
          </w:p>
        </w:tc>
        <w:tc>
          <w:tcPr>
            <w:tcW w:type="dxa" w:w="3120"/>
            <w:vAlign w:val="center"/>
          </w:tcPr>
          <w:p>
            <w:r/>
            <w:r>
              <w:rPr>
                <w:rFonts w:ascii="Calibri" w:hAnsi="Calibri"/>
                <w:b w:val="0"/>
                <w:sz w:val="18"/>
              </w:rPr>
              <w:t>0.000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shock creates unmet demand (supply gap)</w:t>
            </w:r>
          </w:p>
        </w:tc>
        <w:tc>
          <w:tcPr>
            <w:tcW w:type="dxa" w:w="3120"/>
            <w:vAlign w:val="center"/>
          </w:tcPr>
          <w:p>
            <w:r/>
            <w:r>
              <w:rPr>
                <w:rFonts w:ascii="Calibri" w:hAnsi="Calibri"/>
                <w:b w:val="0"/>
                <w:sz w:val="18"/>
              </w:rPr>
              <w:t>196236 t</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oversupply edge case: supplied copper still equals demand</w:t>
            </w:r>
          </w:p>
        </w:tc>
        <w:tc>
          <w:tcPr>
            <w:tcW w:type="dxa" w:w="3120"/>
            <w:vAlign w:val="center"/>
          </w:tcPr>
          <w:p>
            <w:r/>
            <w:r>
              <w:rPr>
                <w:rFonts w:ascii="Calibri" w:hAnsi="Calibri"/>
                <w:b w:val="0"/>
                <w:sz w:val="18"/>
              </w:rPr>
              <w:t>supplied 9000.0 vs demand 9000.0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all supply shares in [0,1]</w:t>
            </w:r>
          </w:p>
        </w:tc>
        <w:tc>
          <w:tcPr>
            <w:tcW w:type="dxa" w:w="3120"/>
            <w:vAlign w:val="center"/>
          </w:tcPr>
          <w:p>
            <w:r/>
            <w:r>
              <w:rPr>
                <w:rFonts w:ascii="Calibri" w:hAnsi="Calibri"/>
                <w:b w:val="0"/>
                <w:sz w:val="18"/>
              </w:rPr>
              <w:t>0 violations</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shares close to 1 (domestic+recycled+import+gap)</w:t>
            </w:r>
          </w:p>
        </w:tc>
        <w:tc>
          <w:tcPr>
            <w:tcW w:type="dxa" w:w="3120"/>
            <w:vAlign w:val="center"/>
          </w:tcPr>
          <w:p>
            <w:r/>
            <w:r>
              <w:rPr>
                <w:rFonts w:ascii="Calibri" w:hAnsi="Calibri"/>
                <w:b w:val="0"/>
                <w:sz w:val="18"/>
              </w:rPr>
              <w:t>0 violations</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no NaN/inf in key economic columns</w:t>
            </w:r>
          </w:p>
        </w:tc>
        <w:tc>
          <w:tcPr>
            <w:tcW w:type="dxa" w:w="3120"/>
            <w:vAlign w:val="center"/>
          </w:tcPr>
          <w:p>
            <w:r/>
            <w:r>
              <w:rPr>
                <w:rFonts w:ascii="Calibri" w:hAnsi="Calibri"/>
                <w:b w:val="0"/>
                <w:sz w:val="18"/>
              </w:rPr>
              <w:t>{'output_total_gbp_m': 0, 'gva_total_gbp_m': 0, 'employment_total': 0, 'recycling_jobs': 0, 'mining_jobs': 0, 'co2_kt': 0, 'crit_recycled_share': 0, 'crit_import_share': 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no negative jobs/GVA/output/CO2</w:t>
            </w:r>
          </w:p>
        </w:tc>
        <w:tc>
          <w:tcPr>
            <w:tcW w:type="dxa" w:w="3120"/>
            <w:vAlign w:val="center"/>
          </w:tcPr>
          <w:p>
            <w:r/>
            <w:r>
              <w:rPr>
                <w:rFonts w:ascii="Calibri" w:hAnsi="Calibri"/>
                <w:b w:val="0"/>
                <w:sz w:val="18"/>
              </w:rPr>
              <w:t>{'output_total_gbp_m': 0, 'gva_total_gbp_m': 0, 'employment_total': 0, 'recycling_jobs': 0, 'mining_jobs': 0, 'co2_kt': 0, 'crit_recycled_share': 0, 'crit_import_share': 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crit_recycled_share within [0,1]</w:t>
            </w:r>
          </w:p>
        </w:tc>
        <w:tc>
          <w:tcPr>
            <w:tcW w:type="dxa" w:w="3120"/>
            <w:vAlign w:val="center"/>
          </w:tcPr>
          <w:p>
            <w:r/>
            <w:r>
              <w:rPr>
                <w:rFonts w:ascii="Calibri" w:hAnsi="Calibri"/>
                <w:b w:val="0"/>
                <w:sz w:val="18"/>
              </w:rPr>
              <w:t>min 0.147 max 0.463</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crit_import_share within [0,1]</w:t>
            </w:r>
          </w:p>
        </w:tc>
        <w:tc>
          <w:tcPr>
            <w:tcW w:type="dxa" w:w="3120"/>
            <w:vAlign w:val="center"/>
          </w:tcPr>
          <w:p>
            <w:r/>
            <w:r>
              <w:rPr>
                <w:rFonts w:ascii="Calibri" w:hAnsi="Calibri"/>
                <w:b w:val="0"/>
                <w:sz w:val="18"/>
              </w:rPr>
              <w:t>min 0.528 max 0.843</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crit_domestic_share within [0,1]</w:t>
            </w:r>
          </w:p>
        </w:tc>
        <w:tc>
          <w:tcPr>
            <w:tcW w:type="dxa" w:w="3120"/>
            <w:vAlign w:val="center"/>
          </w:tcPr>
          <w:p>
            <w:r/>
            <w:r>
              <w:rPr>
                <w:rFonts w:ascii="Calibri" w:hAnsi="Calibri"/>
                <w:b w:val="0"/>
                <w:sz w:val="18"/>
              </w:rPr>
              <w:t>min 0.010 max 0.011</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cumulative GVA identical across two runs</w:t>
            </w:r>
          </w:p>
        </w:tc>
        <w:tc>
          <w:tcPr>
            <w:tcW w:type="dxa" w:w="3120"/>
            <w:vAlign w:val="center"/>
          </w:tcPr>
          <w:p>
            <w:r/>
            <w:r>
              <w:rPr>
                <w:rFonts w:ascii="Calibri" w:hAnsi="Calibri"/>
                <w:b w:val="0"/>
                <w:sz w:val="18"/>
              </w:rPr>
              <w:t>760.2411 vs 760.2411</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full timeseries identical</w:t>
            </w:r>
          </w:p>
        </w:tc>
        <w:tc>
          <w:tcPr>
            <w:tcW w:type="dxa" w:w="3120"/>
            <w:vAlign w:val="center"/>
          </w:tcPr>
          <w:p>
            <w:r/>
            <w:r>
              <w:rPr>
                <w:rFonts w:ascii="Calibri" w:hAnsi="Calibri"/>
                <w:b w:val="0"/>
                <w:sz w:val="18"/>
              </w:rPr>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SAM row sums == column sums (balanced)</w:t>
            </w:r>
          </w:p>
        </w:tc>
        <w:tc>
          <w:tcPr>
            <w:tcW w:type="dxa" w:w="3120"/>
            <w:vAlign w:val="center"/>
          </w:tcPr>
          <w:p>
            <w:r/>
            <w:r>
              <w:rPr>
                <w:rFonts w:ascii="Calibri" w:hAnsi="Calibri"/>
                <w:b w:val="0"/>
                <w:sz w:val="18"/>
              </w:rPr>
              <w:t>max imbalance £7.28e-12m</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SAM reproduces mining GVA ~£108m anchor</w:t>
            </w:r>
          </w:p>
        </w:tc>
        <w:tc>
          <w:tcPr>
            <w:tcW w:type="dxa" w:w="3120"/>
            <w:vAlign w:val="center"/>
          </w:tcPr>
          <w:p>
            <w:r/>
            <w:r>
              <w:rPr>
                <w:rFonts w:ascii="Calibri" w:hAnsi="Calibri"/>
                <w:b w:val="0"/>
                <w:sz w:val="18"/>
              </w:rPr>
              <w:t>£108.0m</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CGE solves the benchmark</w:t>
            </w:r>
          </w:p>
        </w:tc>
        <w:tc>
          <w:tcPr>
            <w:tcW w:type="dxa" w:w="3120"/>
            <w:vAlign w:val="center"/>
          </w:tcPr>
          <w:p>
            <w:r/>
            <w:r>
              <w:rPr>
                <w:rFonts w:ascii="Calibri" w:hAnsi="Calibri"/>
                <w:b w:val="0"/>
                <w:sz w:val="18"/>
              </w:rPr>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CGE replicates benchmark (wage ~ 1.0 at no shock)</w:t>
            </w:r>
          </w:p>
        </w:tc>
        <w:tc>
          <w:tcPr>
            <w:tcW w:type="dxa" w:w="3120"/>
            <w:vAlign w:val="center"/>
          </w:tcPr>
          <w:p>
            <w:r/>
            <w:r>
              <w:rPr>
                <w:rFonts w:ascii="Calibri" w:hAnsi="Calibri"/>
                <w:b w:val="0"/>
                <w:sz w:val="18"/>
              </w:rPr>
              <w:t>wage 1.000000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every sector's district shares sum to 1</w:t>
            </w:r>
          </w:p>
        </w:tc>
        <w:tc>
          <w:tcPr>
            <w:tcW w:type="dxa" w:w="3120"/>
            <w:vAlign w:val="center"/>
          </w:tcPr>
          <w:p>
            <w:r/>
            <w:r>
              <w:rPr>
                <w:rFonts w:ascii="Calibri" w:hAnsi="Calibri"/>
                <w:b w:val="0"/>
                <w:sz w:val="18"/>
              </w:rPr>
              <w:t>min 1.0000 max 1.0000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shares non-negative</w:t>
            </w:r>
          </w:p>
        </w:tc>
        <w:tc>
          <w:tcPr>
            <w:tcW w:type="dxa" w:w="3120"/>
            <w:vAlign w:val="center"/>
          </w:tcPr>
          <w:p>
            <w:r/>
            <w:r>
              <w:rPr>
                <w:rFonts w:ascii="Calibri" w:hAnsi="Calibri"/>
                <w:b w:val="0"/>
                <w:sz w:val="18"/>
              </w:rPr>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11 districts</w:t>
            </w:r>
          </w:p>
        </w:tc>
        <w:tc>
          <w:tcPr>
            <w:tcW w:type="dxa" w:w="3120"/>
            <w:vAlign w:val="center"/>
          </w:tcPr>
          <w:p>
            <w:r/>
            <w:r>
              <w:rPr>
                <w:rFonts w:ascii="Calibri" w:hAnsi="Calibri"/>
                <w:b w:val="0"/>
                <w:sz w:val="18"/>
              </w:rPr>
              <w:t>11</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reserve never negative</w:t>
            </w:r>
          </w:p>
        </w:tc>
        <w:tc>
          <w:tcPr>
            <w:tcW w:type="dxa" w:w="3120"/>
            <w:vAlign w:val="center"/>
          </w:tcPr>
          <w:p>
            <w:r/>
            <w:r>
              <w:rPr>
                <w:rFonts w:ascii="Calibri" w:hAnsi="Calibri"/>
                <w:b w:val="0"/>
                <w:sz w:val="18"/>
              </w:rPr>
              <w:t>min 0.0000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reserve depletes under sustained shock</w:t>
            </w:r>
          </w:p>
        </w:tc>
        <w:tc>
          <w:tcPr>
            <w:tcW w:type="dxa" w:w="3120"/>
            <w:vAlign w:val="center"/>
          </w:tcPr>
          <w:p>
            <w:r/>
            <w:r>
              <w:rPr>
                <w:rFonts w:ascii="Calibri" w:hAnsi="Calibri"/>
                <w:b w:val="0"/>
                <w:sz w:val="18"/>
              </w:rPr>
              <w:t>reserves [0.0, 0.0, 0.0, 0.0, 0.0, 0.0, 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stockpile reduces the early-window supply gap</w:t>
            </w:r>
          </w:p>
        </w:tc>
        <w:tc>
          <w:tcPr>
            <w:tcW w:type="dxa" w:w="3120"/>
            <w:vAlign w:val="center"/>
          </w:tcPr>
          <w:p>
            <w:r/>
            <w:r>
              <w:rPr>
                <w:rFonts w:ascii="Calibri" w:hAnsi="Calibri"/>
                <w:b w:val="0"/>
                <w:sz w:val="18"/>
              </w:rPr>
              <w:t>early gap 0.257 -&gt; 0.197</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register loads (&gt;=20 firms)</w:t>
            </w:r>
          </w:p>
        </w:tc>
        <w:tc>
          <w:tcPr>
            <w:tcW w:type="dxa" w:w="3120"/>
            <w:vAlign w:val="center"/>
          </w:tcPr>
          <w:p>
            <w:r/>
            <w:r>
              <w:rPr>
                <w:rFonts w:ascii="Calibri" w:hAnsi="Calibri"/>
                <w:b w:val="0"/>
                <w:sz w:val="18"/>
              </w:rPr>
              <w:t>21 firms</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all roles mapped to a stage</w:t>
            </w:r>
          </w:p>
        </w:tc>
        <w:tc>
          <w:tcPr>
            <w:tcW w:type="dxa" w:w="3120"/>
            <w:vAlign w:val="center"/>
          </w:tcPr>
          <w:p>
            <w:r/>
            <w:r>
              <w:rPr>
                <w:rFonts w:ascii="Calibri" w:hAnsi="Calibri"/>
                <w:b w:val="0"/>
                <w:sz w:val="18"/>
              </w:rPr>
              <w:t>unmapped: []</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Plaswire reclassified to waste_recycler</w:t>
            </w:r>
          </w:p>
        </w:tc>
        <w:tc>
          <w:tcPr>
            <w:tcW w:type="dxa" w:w="3120"/>
            <w:vAlign w:val="center"/>
          </w:tcPr>
          <w:p>
            <w:r/>
            <w:r>
              <w:rPr>
                <w:rFonts w:ascii="Calibri" w:hAnsi="Calibri"/>
                <w:b w:val="0"/>
                <w:sz w:val="18"/>
              </w:rPr>
              <w:t>waste_recycler</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Plaswire has no tracked critical-mineral target (composites)</w:t>
            </w:r>
          </w:p>
        </w:tc>
        <w:tc>
          <w:tcPr>
            <w:tcW w:type="dxa" w:w="3120"/>
            <w:vAlign w:val="center"/>
          </w:tcPr>
          <w:p>
            <w:r/>
            <w:r>
              <w:rPr>
                <w:rFonts w:ascii="Calibri" w:hAnsi="Calibri"/>
                <w:b w:val="0"/>
                <w:sz w:val="18"/>
              </w:rPr>
              <w:t>targets set()</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all firm scores in [0,1]</w:t>
            </w:r>
          </w:p>
        </w:tc>
        <w:tc>
          <w:tcPr>
            <w:tcW w:type="dxa" w:w="3120"/>
            <w:vAlign w:val="center"/>
          </w:tcPr>
          <w:p>
            <w:r/>
            <w:r>
              <w:rPr>
                <w:rFonts w:ascii="Calibri" w:hAnsi="Calibri"/>
                <w:b w:val="0"/>
                <w:sz w:val="18"/>
              </w:rPr>
              <w:t>out of range: []</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mining Type II output multiplier in 1.3-2.2</w:t>
            </w:r>
          </w:p>
        </w:tc>
        <w:tc>
          <w:tcPr>
            <w:tcW w:type="dxa" w:w="3120"/>
            <w:vAlign w:val="center"/>
          </w:tcPr>
          <w:p>
            <w:r/>
            <w:r>
              <w:rPr>
                <w:rFonts w:ascii="Calibri" w:hAnsi="Calibri"/>
                <w:b w:val="0"/>
                <w:sz w:val="18"/>
              </w:rPr>
              <w:t>1.688</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mining GVA/output coeff in 0.2-0.5</w:t>
            </w:r>
          </w:p>
        </w:tc>
        <w:tc>
          <w:tcPr>
            <w:tcW w:type="dxa" w:w="3120"/>
            <w:vAlign w:val="center"/>
          </w:tcPr>
          <w:p>
            <w:r/>
            <w:r>
              <w:rPr>
                <w:rFonts w:ascii="Calibri" w:hAnsi="Calibri"/>
                <w:b w:val="0"/>
                <w:sz w:val="18"/>
              </w:rPr>
              <w:t>0.350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peak total jobs &lt; 1% of NI employment (816,562)</w:t>
            </w:r>
          </w:p>
        </w:tc>
        <w:tc>
          <w:tcPr>
            <w:tcW w:type="dxa" w:w="3120"/>
            <w:vAlign w:val="center"/>
          </w:tcPr>
          <w:p>
            <w:r/>
            <w:r>
              <w:rPr>
                <w:rFonts w:ascii="Calibri" w:hAnsi="Calibri"/>
                <w:b w:val="0"/>
                <w:sz w:val="18"/>
              </w:rPr>
              <w:t>1513 jobs</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recycled share never exceeds 1</w:t>
            </w:r>
          </w:p>
        </w:tc>
        <w:tc>
          <w:tcPr>
            <w:tcW w:type="dxa" w:w="3120"/>
            <w:vAlign w:val="center"/>
          </w:tcPr>
          <w:p>
            <w:r/>
            <w:r>
              <w:rPr>
                <w:rFonts w:ascii="Calibri" w:hAnsi="Calibri"/>
                <w:b w:val="0"/>
                <w:sz w:val="18"/>
              </w:rPr>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diversification lowers single-country exposure</w:t>
            </w:r>
          </w:p>
        </w:tc>
        <w:tc>
          <w:tcPr>
            <w:tcW w:type="dxa" w:w="3120"/>
            <w:vAlign w:val="center"/>
          </w:tcPr>
          <w:p>
            <w:r/>
            <w:r>
              <w:rPr>
                <w:rFonts w:ascii="Calibri" w:hAnsi="Calibri"/>
                <w:b w:val="0"/>
                <w:sz w:val="18"/>
              </w:rPr>
              <w:t>0.435 -&gt; 0.278</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time-varying shock: no gap before onset</w:t>
            </w:r>
          </w:p>
        </w:tc>
        <w:tc>
          <w:tcPr>
            <w:tcW w:type="dxa" w:w="3120"/>
            <w:vAlign w:val="center"/>
          </w:tcPr>
          <w:p>
            <w:r/>
            <w:r>
              <w:rPr>
                <w:rFonts w:ascii="Calibri" w:hAnsi="Calibri"/>
                <w:b w:val="0"/>
                <w:sz w:val="18"/>
              </w:rPr>
              <w:t>pre 0.0000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time-varying shock: gap appears after onset</w:t>
            </w:r>
          </w:p>
        </w:tc>
        <w:tc>
          <w:tcPr>
            <w:tcW w:type="dxa" w:w="3120"/>
            <w:vAlign w:val="center"/>
          </w:tcPr>
          <w:p>
            <w:r/>
            <w:r>
              <w:rPr>
                <w:rFonts w:ascii="Calibri" w:hAnsi="Calibri"/>
                <w:b w:val="0"/>
                <w:sz w:val="18"/>
              </w:rPr>
              <w:t>post 0.0168</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main scenario 5_supply_shock includes an import constraint</w:t>
            </w:r>
          </w:p>
        </w:tc>
        <w:tc>
          <w:tcPr>
            <w:tcW w:type="dxa" w:w="3120"/>
            <w:vAlign w:val="center"/>
          </w:tcPr>
          <w:p>
            <w:r/>
            <w:r>
              <w:rPr>
                <w:rFonts w:ascii="Calibri" w:hAnsi="Calibri"/>
                <w:b w:val="0"/>
                <w:sz w:val="18"/>
              </w:rPr>
              <w:t>{'REE_magnet': 0.26, 'Lithium': 0.56, 'Cobalt': 0.30000000000000004, 'Nickel': 0.6, 'Copper': 0.7, 'Aluminium': 0.65, 'Antimony': 0.30000000000000004}</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top-3 / refining / export-control risk metrics recorded</w:t>
            </w:r>
          </w:p>
        </w:tc>
        <w:tc>
          <w:tcPr>
            <w:tcW w:type="dxa" w:w="3120"/>
            <w:vAlign w:val="center"/>
          </w:tcPr>
          <w:p>
            <w:r/>
            <w:r>
              <w:rPr>
                <w:rFonts w:ascii="Calibri" w:hAnsi="Calibri"/>
                <w:b w:val="0"/>
                <w:sz w:val="18"/>
              </w:rPr>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top-3 exposure &gt;= single-country exposure (top-3 includes the leader)</w:t>
            </w:r>
          </w:p>
        </w:tc>
        <w:tc>
          <w:tcPr>
            <w:tcW w:type="dxa" w:w="3120"/>
            <w:vAlign w:val="center"/>
          </w:tcPr>
          <w:p>
            <w:r/>
            <w:r>
              <w:rPr>
                <w:rFonts w:ascii="Calibri" w:hAnsi="Calibri"/>
                <w:b w:val="0"/>
                <w:sz w:val="18"/>
              </w:rPr>
              <w:t>top3 0.460 vs single 0.435</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refining &amp; export-control exposures bounded in [0,1]</w:t>
            </w:r>
          </w:p>
        </w:tc>
        <w:tc>
          <w:tcPr>
            <w:tcW w:type="dxa" w:w="3120"/>
            <w:vAlign w:val="center"/>
          </w:tcPr>
          <w:p>
            <w:r/>
            <w:r>
              <w:rPr>
                <w:rFonts w:ascii="Calibri" w:hAnsi="Calibri"/>
                <w:b w:val="0"/>
                <w:sz w:val="18"/>
              </w:rPr>
              <w:t>refining 0.272, export-ctrl 0.005</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skill breakdown sums to total jobs</w:t>
            </w:r>
          </w:p>
        </w:tc>
        <w:tc>
          <w:tcPr>
            <w:tcW w:type="dxa" w:w="3120"/>
            <w:vAlign w:val="center"/>
          </w:tcPr>
          <w:p>
            <w:r/>
            <w:r>
              <w:rPr>
                <w:rFonts w:ascii="Calibri" w:hAnsi="Calibri"/>
                <w:b w:val="0"/>
                <w:sz w:val="18"/>
              </w:rPr>
              <w:t>450.0 vs 450.0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wage bill positive &amp; premium &gt; 0</w:t>
            </w:r>
          </w:p>
        </w:tc>
        <w:tc>
          <w:tcPr>
            <w:tcW w:type="dxa" w:w="3120"/>
            <w:vAlign w:val="center"/>
          </w:tcPr>
          <w:p>
            <w:r/>
            <w:r>
              <w:rPr>
                <w:rFonts w:ascii="Calibri" w:hAnsi="Calibri"/>
                <w:b w:val="0"/>
                <w:sz w:val="18"/>
              </w:rPr>
              <w:t>bill £18.55m, premium 1.111</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retained local &lt;= total and rises with support</w:t>
            </w:r>
          </w:p>
        </w:tc>
        <w:tc>
          <w:tcPr>
            <w:tcW w:type="dxa" w:w="3120"/>
            <w:vAlign w:val="center"/>
          </w:tcPr>
          <w:p>
            <w:r/>
            <w:r>
              <w:rPr>
                <w:rFonts w:ascii="Calibri" w:hAnsi="Calibri"/>
                <w:b w:val="0"/>
                <w:sz w:val="18"/>
              </w:rPr>
              <w:t>retention 0.7 -&gt; 0.97</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leakage non-negative, &lt;= GVA, and falls as retention rises</w:t>
            </w:r>
          </w:p>
        </w:tc>
        <w:tc>
          <w:tcPr>
            <w:tcW w:type="dxa" w:w="3120"/>
            <w:vAlign w:val="center"/>
          </w:tcPr>
          <w:p>
            <w:r/>
            <w:r>
              <w:rPr>
                <w:rFonts w:ascii="Calibri" w:hAnsi="Calibri"/>
                <w:b w:val="0"/>
                <w:sz w:val="18"/>
              </w:rPr>
              <w:t>300.0 -&gt; 80.0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closure liability bonded down by management &amp; bounded by cost/mine</w:t>
            </w:r>
          </w:p>
        </w:tc>
        <w:tc>
          <w:tcPr>
            <w:tcW w:type="dxa" w:w="3120"/>
            <w:vAlign w:val="center"/>
          </w:tcPr>
          <w:p>
            <w:r/>
            <w:r>
              <w:rPr>
                <w:rFonts w:ascii="Calibri" w:hAnsi="Calibri"/>
                <w:b w:val="0"/>
                <w:sz w:val="18"/>
              </w:rPr>
              <w:t>35.0 -&gt; 3.5</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displacement&gt;=0 &amp; cut by management; stranded 0 w/o mine, &gt;0 with contested mine</w:t>
            </w:r>
          </w:p>
        </w:tc>
        <w:tc>
          <w:tcPr>
            <w:tcW w:type="dxa" w:w="3120"/>
            <w:vAlign w:val="center"/>
          </w:tcPr>
          <w:p>
            <w:r/>
            <w:r>
              <w:rPr>
                <w:rFonts w:ascii="Calibri" w:hAnsi="Calibri"/>
                <w:b w:val="0"/>
                <w:sz w:val="18"/>
              </w:rPr>
              <w:t>displ 30.0-&gt;15.0; stranded none=0.0 mine=125.0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forced CGE failure routes to the PE fallback</w:t>
            </w:r>
          </w:p>
        </w:tc>
        <w:tc>
          <w:tcPr>
            <w:tcW w:type="dxa" w:w="3120"/>
            <w:vAlign w:val="center"/>
          </w:tcPr>
          <w:p>
            <w:r/>
            <w:r>
              <w:rPr>
                <w:rFonts w:ascii="Calibri" w:hAnsi="Calibri"/>
                <w:b w:val="0"/>
                <w:sz w:val="18"/>
              </w:rPr>
              <w:t>{'fallback_pe'}</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fallback run has no NaN in GVA/jobs</w:t>
            </w:r>
          </w:p>
        </w:tc>
        <w:tc>
          <w:tcPr>
            <w:tcW w:type="dxa" w:w="3120"/>
            <w:vAlign w:val="center"/>
          </w:tcPr>
          <w:p>
            <w:r/>
            <w:r>
              <w:rPr>
                <w:rFonts w:ascii="Calibri" w:hAnsi="Calibri"/>
                <w:b w:val="0"/>
                <w:sz w:val="18"/>
              </w:rPr>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fallback keeps price feedback bounded [0.8,1.5] &amp; mass balance</w:t>
            </w:r>
          </w:p>
        </w:tc>
        <w:tc>
          <w:tcPr>
            <w:tcW w:type="dxa" w:w="3120"/>
            <w:vAlign w:val="center"/>
          </w:tcPr>
          <w:p>
            <w:r/>
            <w:r>
              <w:rPr>
                <w:rFonts w:ascii="Calibri" w:hAnsi="Calibri"/>
                <w:b w:val="0"/>
                <w:sz w:val="18"/>
              </w:rPr>
              <w:t>feedback 1.000</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fuzz: all 30 random configs ran without error</w:t>
            </w:r>
          </w:p>
        </w:tc>
        <w:tc>
          <w:tcPr>
            <w:tcW w:type="dxa" w:w="3120"/>
            <w:vAlign w:val="center"/>
          </w:tcPr>
          <w:p>
            <w:r/>
            <w:r>
              <w:rPr>
                <w:rFonts w:ascii="Calibri" w:hAnsi="Calibri"/>
                <w:b w:val="0"/>
                <w:sz w:val="18"/>
              </w:rPr>
              <w:t>0 errored</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fuzz: MFA mass balance closes in every config</w:t>
            </w:r>
          </w:p>
        </w:tc>
        <w:tc>
          <w:tcPr>
            <w:tcW w:type="dxa" w:w="3120"/>
            <w:vAlign w:val="center"/>
          </w:tcPr>
          <w:p>
            <w:r/>
            <w:r>
              <w:rPr>
                <w:rFonts w:ascii="Calibri" w:hAnsi="Calibri"/>
                <w:b w:val="0"/>
                <w:sz w:val="18"/>
              </w:rPr>
              <w:t>0 violated</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fuzz: supply shares bounded &amp; sum to 1 in every config</w:t>
            </w:r>
          </w:p>
        </w:tc>
        <w:tc>
          <w:tcPr>
            <w:tcW w:type="dxa" w:w="3120"/>
            <w:vAlign w:val="center"/>
          </w:tcPr>
          <w:p>
            <w:r/>
            <w:r>
              <w:rPr>
                <w:rFonts w:ascii="Calibri" w:hAnsi="Calibri"/>
                <w:b w:val="0"/>
                <w:sz w:val="18"/>
              </w:rPr>
              <w:t>0 violated</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fuzz: no NaN/inf in key outputs in every config</w:t>
            </w:r>
          </w:p>
        </w:tc>
        <w:tc>
          <w:tcPr>
            <w:tcW w:type="dxa" w:w="3120"/>
            <w:vAlign w:val="center"/>
          </w:tcPr>
          <w:p>
            <w:r/>
            <w:r>
              <w:rPr>
                <w:rFonts w:ascii="Calibri" w:hAnsi="Calibri"/>
                <w:b w:val="0"/>
                <w:sz w:val="18"/>
              </w:rPr>
              <w:t>0 violated</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fuzz: no negative jobs/GVA/output/CO2 in every config</w:t>
            </w:r>
          </w:p>
        </w:tc>
        <w:tc>
          <w:tcPr>
            <w:tcW w:type="dxa" w:w="3120"/>
            <w:vAlign w:val="center"/>
          </w:tcPr>
          <w:p>
            <w:r/>
            <w:r>
              <w:rPr>
                <w:rFonts w:ascii="Calibri" w:hAnsi="Calibri"/>
                <w:b w:val="0"/>
                <w:sz w:val="18"/>
              </w:rPr>
              <w:t>0 violated</w:t>
            </w:r>
          </w:p>
        </w:tc>
      </w:tr>
      <w:tr>
        <w:tc>
          <w:tcPr>
            <w:tcW w:type="dxa" w:w="3120"/>
            <w:vAlign w:val="center"/>
          </w:tcPr>
          <w:p>
            <w:r/>
            <w:r>
              <w:rPr>
                <w:rFonts w:ascii="Calibri" w:hAnsi="Calibri"/>
                <w:b/>
                <w:color w:val="1F7A1F"/>
                <w:sz w:val="18"/>
              </w:rPr>
              <w:t>PASS</w:t>
            </w:r>
          </w:p>
        </w:tc>
        <w:tc>
          <w:tcPr>
            <w:tcW w:type="dxa" w:w="3120"/>
            <w:vAlign w:val="center"/>
          </w:tcPr>
          <w:p>
            <w:r/>
            <w:r>
              <w:rPr>
                <w:rFonts w:ascii="Calibri" w:hAnsi="Calibri"/>
                <w:b w:val="0"/>
                <w:sz w:val="18"/>
              </w:rPr>
              <w:t>fuzz: stockpile reserve never negative in every config</w:t>
            </w:r>
          </w:p>
        </w:tc>
        <w:tc>
          <w:tcPr>
            <w:tcW w:type="dxa" w:w="3120"/>
            <w:vAlign w:val="center"/>
          </w:tcPr>
          <w:p>
            <w:r/>
            <w:r>
              <w:rPr>
                <w:rFonts w:ascii="Calibri" w:hAnsi="Calibri"/>
                <w:b w:val="0"/>
                <w:sz w:val="18"/>
              </w:rPr>
              <w:t>0 violated</w:t>
            </w:r>
          </w:p>
        </w:tc>
      </w:tr>
    </w:tbl>
    <w:p>
      <w:pPr>
        <w:pStyle w:val="Heading1"/>
      </w:pPr>
      <w:r>
        <w:t>Interpretation and limitations</w:t>
      </w:r>
    </w:p>
    <w:p>
      <w:pPr>
        <w:pStyle w:val="ListBullet"/>
      </w:pPr>
      <w:r>
        <w:t>Passing validation means the implemented equations, accounting identities and benchmark checks are internally consistent; it does not turn proxy inputs into forecasts.</w:t>
      </w:r>
    </w:p>
    <w:p>
      <w:pPr>
        <w:pStyle w:val="ListBullet"/>
      </w:pPr>
      <w:r>
        <w:t>The strongest external validation is currently the Minviro anchor comparison for the I-O core. Several CGE, SAM, company-score and local-flow parameters remain proxy or desk-estimated inputs.</w:t>
      </w:r>
    </w:p>
    <w:p>
      <w:pPr>
        <w:pStyle w:val="ListBullet"/>
      </w:pPr>
      <w:r>
        <w:t>The fuzz tests improve confidence that valid policy bundles do not break invariants, but they do not prove every possible real-world configuration has been calibrated.</w:t>
      </w:r>
    </w:p>
    <w:p>
      <w:pPr>
        <w:pStyle w:val="ListBullet"/>
      </w:pPr>
      <w:r>
        <w:t>The recommended validation cycle is to rerun this script after any change to model equations, parameters, company data, scenario definitions or output schemas.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NI Circular Minerals Model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