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</w:t>
      </w:r>
      <w:r>
        <w:rPr>
          <w:b/>
        </w:rPr>
        <w:t>Q2.7 has been refocused</w:t>
      </w:r>
      <w:r>
        <w:t xml:space="preserve"> to the consultation question as posed — the *economic* negative impacts of mineral development (leakage, closure/legacy liability, agriculture/tourism displacement, boom-bust exposure, stranded capital; </w:t>
      </w:r>
      <w:r>
        <w:rPr>
          <w:rFonts w:ascii="Consolas" w:hAnsi="Consolas"/>
        </w:rPr>
        <w:t>econ_impact_module.py</w:t>
      </w:r>
      <w:r>
        <w:t xml:space="preserve">), with environmental impacts moved out of scope (still tracked in the I-O CO₂/PM satellites).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(bottom). Stage employment is summed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 xml:space="preserve">). A durable, layered validation report (design rationale, summary, per-check results and limitations) is generated by </w:t>
      </w:r>
      <w:r>
        <w:rPr>
          <w:rFonts w:ascii="Consolas" w:hAnsi="Consolas"/>
        </w:rPr>
        <w:t>model/validate_model_report.py</w:t>
      </w:r>
      <w:r>
        <w:t xml:space="preserve"> → </w:t>
      </w:r>
      <w:r>
        <w:rPr>
          <w:rFonts w:ascii="Consolas" w:hAnsi="Consolas"/>
        </w:rPr>
        <w:t>word/Model_Validation_Report.docx</w:t>
      </w:r>
      <w:r>
        <w:t xml:space="preserve"> (61 passed / 0 failed).</w:t>
      </w:r>
    </w:p>
    <w:p>
      <w:r>
        <w:rPr>
          <w:b/>
        </w:rPr>
        <w:t>(c) Validation of the new evidence layer (this revision).</w:t>
      </w:r>
      <w:r>
        <w:t xml:space="preserve"> The IEA-2025 risk indices and the critical/growth split were independently re-validated across a 30-year shocked run: </w:t>
      </w:r>
      <w:r>
        <w:rPr>
          <w:b/>
        </w:rPr>
        <w:t>top-three exposure ≥ single-country exposure in every year</w:t>
      </w:r>
      <w:r>
        <w:t xml:space="preserve"> (the top-three cluster always contains the dominant supplier), </w:t>
      </w:r>
      <w:r>
        <w:rPr>
          <w:b/>
        </w:rPr>
        <w:t>refining, export-control and critical-only shares stay within [0,1] every year</w:t>
      </w:r>
      <w:r>
        <w:t xml:space="preserve">, and </w:t>
      </w:r>
      <w:r>
        <w:rPr>
          <w:b/>
        </w:rPr>
        <w:t>determinism holds with the new columns</w:t>
      </w:r>
      <w:r>
        <w:t xml:space="preserve"> (identical reruns match). The </w:t>
      </w:r>
      <w:r>
        <w:rPr>
          <w:b/>
        </w:rPr>
        <w:t>critical-only</w:t>
      </w:r>
      <w:r>
        <w:t xml:space="preserve"> recycled share (copper excluded) runs *below* the critical-&amp;-growth figure (e.g. ~0.165 vs ~0.225 in the shocked run) — confirming that including copper, a UK *growth* mineral, modestly flatters the headline critical-mineral share, which is exactly why it is reported separately.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 has two layers.</w:t>
      </w:r>
      <w:r>
        <w:t xml:space="preserve"> The </w:t>
      </w:r>
      <w:r>
        <w:rPr>
          <w:b/>
        </w:rPr>
        <w:t>demand-supply strategy experiment</w:t>
      </w:r>
      <w:r>
        <w:t xml:space="preserve"> (</w:t>
      </w:r>
      <w:r>
        <w:rPr>
          <w:rFonts w:ascii="Consolas" w:hAnsi="Consolas"/>
        </w:rPr>
        <w:t>q_demand_supply_strategy.py</w:t>
      </w:r>
      <w:r>
        <w:t xml:space="preserve">) is anchored to the </w:t>
      </w:r>
      <w:r>
        <w:rPr>
          <w:b/>
        </w:rPr>
        <w:t>Vision 2035 Technical Annex (Annex 2) 2035 cumulative-demand tonnages</w:t>
      </w:r>
      <w:r>
        <w:t xml:space="preserve">. The seven core Q2 experiments use the shared </w:t>
      </w:r>
      <w:r>
        <w:rPr>
          <w:rFonts w:ascii="Consolas" w:hAnsi="Consolas"/>
        </w:rPr>
        <w:t>GREEN_DEMAND</w:t>
      </w:r>
      <w:r>
        <w:t xml:space="preserve"> policy-growth path (</w:t>
      </w:r>
      <w:r>
        <w:rPr>
          <w:rFonts w:ascii="Consolas" w:hAnsi="Consolas"/>
        </w:rPr>
        <w:t>DEMAND_GROWTH_EV</w:t>
      </w:r>
      <w:r>
        <w:t xml:space="preserve">, </w:t>
      </w:r>
      <w:r>
        <w:rPr>
          <w:rFonts w:ascii="Consolas" w:hAnsi="Consolas"/>
        </w:rPr>
        <w:t>DEMAND_GROWTH_WIND</w:t>
      </w:r>
      <w:r>
        <w:t>, plus conservative metal-specific proxy growth rates) unless otherwise stated.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 and remain tracked in the I-O outputs. Q2.7 is now an </w:t>
      </w:r>
      <w:r>
        <w:rPr>
          <w:b/>
        </w:rPr>
        <w:t>economic-negative-impact</w:t>
      </w:r>
      <w:r>
        <w:t xml:space="preserve"> layer; its leakage, closure, displacement, volatility and stranded-capital parameters are proxy/desk values. The model does </w:t>
      </w:r>
      <w:r>
        <w:rPr>
          <w:b/>
        </w:rPr>
        <w:t>not</w:t>
      </w:r>
      <w:r>
        <w:t xml:space="preserve"> do site-specific EIA.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in the near-term Q2.1 intervention test, collection/feedstock is the binding constraint</w:t>
      </w:r>
      <w:r>
        <w:t xml:space="preserve"> — smart collection/DRS is the *only* single lever that reaches the Vision-2035 20% recycling target (subsidising recovery *plant* alone moves little because NI's immediate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This does </w:t>
      </w:r>
      <w:r>
        <w:rPr>
          <w:b/>
        </w:rPr>
        <w:t>not</w:t>
      </w:r>
      <w:r>
        <w:t xml:space="preserve"> mean processing capacity is unimportant: the cross-cutting capacity audit shows no NI lithium, cobalt, nickel, copper or aluminium processing capacity, so processing becomes a binding midstream gap as demand scales.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feedstock; *then scale* — processing/recovery capacity for battery metals and growth minerals.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no single lever qualifies,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Critical-&amp;-growth-mineral supply security in the integrated scenario (Q2.4): recycled share improves toward the Vision-2035 recycling target while domestic share remains well below the 10% target and maximum single-country exposure falls but remains above the 60% target in normal conditions.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improves all three Vision-2035 indicators while adding GVA, and is the only one (with circular-leader) that lowers *refining* exposure. It should be read as </w:t>
      </w:r>
      <w:r>
        <w:rPr>
          <w:b/>
        </w:rPr>
        <w:t>closest/most robust</w:t>
      </w:r>
      <w:r>
        <w:t xml:space="preserve">, not fully target-compliant in every state: domestic share remains below 10%, stable single-country exposure sits just above the 60% threshold after rounding, and some recycled-share results sit just under 20%.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 xml:space="preserve">Q2.7 — Potential </w:t>
      </w:r>
      <w:r>
        <w:rPr>
          <w:b/>
        </w:rPr>
        <w:t>economic</w:t>
      </w:r>
      <w:r>
        <w:t xml:space="preserve"> negative impacts of mineral development</w:t>
      </w:r>
    </w:p>
    <w:p>
      <w:r>
        <w:rPr>
          <w:b/>
        </w:rPr>
        <w:t>(i) Experiment logic.</w:t>
      </w:r>
      <w:r>
        <w:t xml:space="preserve"> This answers the consultation question as literally posed — the </w:t>
      </w:r>
      <w:r>
        <w:rPr>
          <w:b/>
        </w:rPr>
        <w:t>economic</w:t>
      </w:r>
      <w:r>
        <w:t xml:space="preserve"> downsides of (mainly primary) mineral development, </w:t>
      </w:r>
      <w:r>
        <w:rPr>
          <w:b/>
        </w:rPr>
        <w:t>not</w:t>
      </w:r>
      <w:r>
        <w:t xml:space="preserve"> the environmental pressures (carbon/air/land/water/biodiversity stay in the I-O CO₂/PM satellites and are out of scope here). Five Minviro-grounded economic negatives are quantified across scenarios (baseline / circular / lightly-managed primary / integrated / responsible-managed primary): </w:t>
      </w:r>
      <w:r>
        <w:rPr>
          <w:b/>
        </w:rPr>
        <w:t>benefit leakage</w:t>
      </w:r>
      <w:r>
        <w:t xml:space="preserve"> (enclave economy), </w:t>
      </w:r>
      <w:r>
        <w:rPr>
          <w:b/>
        </w:rPr>
        <w:t>closure cliff + remediation 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 price-volatility exposure</w:t>
      </w:r>
      <w:r>
        <w:t xml:space="preserve">, and </w:t>
      </w:r>
      <w:r>
        <w:rPr>
          <w:b/>
        </w:rPr>
        <w:t>stranded/sunk capital</w:t>
      </w:r>
      <w:r>
        <w:t xml:space="preserve"> on contested long-lead projects (</w:t>
      </w:r>
      <w:r>
        <w:rPr>
          <w:rFonts w:ascii="Consolas" w:hAnsi="Consolas"/>
        </w:rPr>
        <w:t>econ_impact_module.py</w:t>
      </w:r>
      <w:r>
        <w:t>).</w:t>
      </w:r>
    </w:p>
    <w:p>
      <w:r>
        <w:rPr>
          <w:b/>
        </w:rPr>
        <w:t>(ii) Data used.</w:t>
      </w:r>
      <w:r>
        <w:t xml:space="preserve"> Minviro Final Report: retained employment §2.2.5 + Galmoy/Lisheen leakage; mine-closure §1.4.6.8 (Fig 1.33 closure-cost estimates); agriculture §3.4.2.4 &amp; tourism §3.4.2.5 displacement; price-volatility/"volatile inflows". Dalradian Curraghinalt (~£250m proposed, ~21-yr inquiry) for the stranded-capital exposure. Parameters (life-of-mine 18 yr, closure £35m/mine, agri+tourism £3m/mine-yr, volatility 0.30, base retention 0.70) are PROXY in the data register.</w:t>
      </w:r>
    </w:p>
    <w:p>
      <w:r>
        <w:rPr>
          <w:b/>
        </w:rPr>
        <w:t>(iii) Results (£m, discounted over 30 years):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Leakage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Closure liability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Agri/tourism displ.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Econ-neg total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per £GVA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Boom-bust /yr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Stranded capital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Net local GVA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653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780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Primary (lightly managed)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359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36%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639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928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Responsible, managed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128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11%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1,016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5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con_negati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Q2.7 economic negative impacts of mineral development — leakage + closure liability + agriculture/tourism displacement by scenario. Primary extraction carries the heavy load; circular activity almost none; responsible managed development mitigates it.</w:t>
      </w:r>
    </w:p>
    <w:p>
      <w:r>
        <w:rPr>
          <w:b/>
        </w:rPr>
        <w:t>(iv) How this leads to the answer.</w:t>
      </w:r>
      <w:r>
        <w:t xml:space="preserve"> The economic negatives are real and </w:t>
      </w:r>
      <w:r>
        <w:rPr>
          <w:b/>
        </w:rPr>
        <w:t>largest for primary extraction</w:t>
      </w:r>
      <w:r>
        <w:t>: lightly managed, it runs ~£359m of deterministic economic losses (</w:t>
      </w:r>
      <w:r>
        <w:rPr>
          <w:b/>
        </w:rPr>
        <w:t>36% of its GVA</w:t>
      </w:r>
      <w:r>
        <w:t xml:space="preserve">) — leakage + a closure cliff &amp; remediation liability + agri/tourism displacement — </w:t>
      </w:r>
      <w:r>
        <w:rPr>
          <w:b/>
        </w:rPr>
        <w:t>plus</w:t>
      </w:r>
      <w:r>
        <w:t xml:space="preserve"> ~£125m of contested capital at risk and a closure cliff (the mine's GVA/jobs vanish at end-of-life). Strikingly, its </w:t>
      </w:r>
      <w:r>
        <w:rPr>
          <w:b/>
        </w:rPr>
        <w:t>net local GVA (£639m) falls *below* the baseline (£653m)</w:t>
      </w:r>
      <w:r>
        <w:t xml:space="preserve"> once the negatives are netted off — lightly-managed extraction can leave NI worse off. </w:t>
      </w:r>
      <w:r>
        <w:rPr>
          <w:b/>
        </w:rPr>
        <w:t>Circular activity avoids almost all of it</w:t>
      </w:r>
      <w:r>
        <w:t xml:space="preserve"> (no mine → no closure/displacement/stranded risk; only residual leakage). </w:t>
      </w:r>
      <w:r>
        <w:rPr>
          <w:b/>
        </w:rPr>
        <w:t>Responsible, managed development mitigates the rest</w:t>
      </w:r>
      <w:r>
        <w:t xml:space="preserve"> — local content + skills cut leakage (retention 70%→92%), </w:t>
      </w:r>
      <w:r>
        <w:rPr>
          <w:b/>
        </w:rPr>
        <w:t>bonded closure</w:t>
      </w:r>
      <w:r>
        <w:t xml:space="preserve"> removes the public remediation liability, rehabilitation shortens displacement, and a circular hedge lowers stranded-capital exposure — lifting net local GVA to ~£1,016m. So the answer: the principal economic negatives are </w:t>
      </w:r>
      <w:r>
        <w:rPr>
          <w:b/>
        </w:rPr>
        <w:t>benefit leakage, closure/legacy liabilities, agriculture/tourism displacement, boom-bust exposure and stranded capital</w:t>
      </w:r>
      <w:r>
        <w:t xml:space="preserve">, and they are minimised by </w:t>
      </w:r>
      <w:r>
        <w:rPr>
          <w:b/>
        </w:rPr>
        <w:t>doing development circularly where possible and, where primary proceeds, requiring local content, bonded closure, rehabilitation and a circular hedge</w:t>
      </w:r>
      <w:r>
        <w:t>. (Environmental impacts are a separate question — tracked in the I-O CO₂/PM satellites.)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