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UK Polyester Textile Supply Chain</w:t>
      </w:r>
    </w:p>
    <w:p>
      <w:pPr>
        <w:jc w:val="center"/>
      </w:pPr>
      <w:r>
        <w:rPr>
          <w:i/>
          <w:sz w:val="28"/>
        </w:rPr>
        <w:t>Technical Appendix: Data Sources, Model Results, and ABM Specification</w:t>
      </w:r>
    </w:p>
    <w:p>
      <w:pPr>
        <w:jc w:val="center"/>
      </w:pPr>
      <w:r>
        <w:t>April 2026  ·  Integrated IO × CGE × ABM Model</w:t>
      </w:r>
    </w:p>
    <w:p>
      <w:r>
        <w:br w:type="page"/>
      </w:r>
    </w:p>
    <w:p>
      <w:pPr>
        <w:jc w:val="both"/>
      </w:pPr>
      <w:r>
        <w:rPr>
          <w:b w:val="0"/>
          <w:i/>
          <w:sz w:val="20"/>
        </w:rPr>
        <w:t>Contents: (1) Validation Data Sources and Per-Event Results  (2) Full Scenario Analysis Results  (3) ABM Technical Specification</w:t>
      </w:r>
    </w:p>
    <w:p/>
    <w:p>
      <w:pPr>
        <w:pStyle w:val="Heading1"/>
      </w:pPr>
      <w:r>
        <w:t>1. Validation Data Sources and Results</w:t>
      </w:r>
    </w:p>
    <w:p>
      <w:pPr>
        <w:jc w:val="both"/>
      </w:pPr>
      <w:r>
        <w:rPr>
          <w:b w:val="0"/>
          <w:i w:val="0"/>
          <w:sz w:val="22"/>
        </w:rPr>
        <w:t>The model was validated against seven historical disruption events using a backcasting methodology. For each event the real-world observable outcomes (commodity prices, import volumes, welfare impacts) are compared against model predictions. This section documents the primary and secondary data sources for each observable, how they were operationalised in the model, and the limitations of each comparison.</w:t>
      </w:r>
    </w:p>
    <w:p>
      <w:pPr>
        <w:pStyle w:val="Heading2"/>
      </w:pPr>
      <w:r>
        <w:t>1.1 Summary of Validation Accuracy</w:t>
      </w:r>
    </w:p>
    <w:tbl>
      <w:tblPr>
        <w:tblStyle w:val="LightShading-Accent1"/>
        <w:tblW w:type="auto" w:w="0"/>
        <w:tblLook w:firstColumn="1" w:firstRow="1" w:lastColumn="0" w:lastRow="0" w:noHBand="0" w:noVBand="1" w:val="04A0"/>
      </w:tblPr>
      <w:tblGrid>
        <w:gridCol w:w="2266"/>
        <w:gridCol w:w="2266"/>
        <w:gridCol w:w="2266"/>
        <w:gridCol w:w="2266"/>
      </w:tblGrid>
      <w:tr>
        <w:tc>
          <w:tcPr>
            <w:tcW w:type="dxa" w:w="1417"/>
          </w:tcPr>
          <w:p>
            <w:r>
              <w:rPr>
                <w:b/>
                <w:sz w:val="18"/>
              </w:rPr>
              <w:t>Event</w:t>
            </w:r>
          </w:p>
        </w:tc>
        <w:tc>
          <w:tcPr>
            <w:tcW w:type="dxa" w:w="1417"/>
          </w:tcPr>
          <w:p>
            <w:r>
              <w:rPr>
                <w:b/>
                <w:sz w:val="18"/>
              </w:rPr>
              <w:t>N Comparisons</w:t>
            </w:r>
          </w:p>
        </w:tc>
        <w:tc>
          <w:tcPr>
            <w:tcW w:type="dxa" w:w="1417"/>
          </w:tcPr>
          <w:p>
            <w:r>
              <w:rPr>
                <w:b/>
                <w:sz w:val="18"/>
              </w:rPr>
              <w:t>MAE (pp)</w:t>
            </w:r>
          </w:p>
        </w:tc>
        <w:tc>
          <w:tcPr>
            <w:tcW w:type="dxa" w:w="1984"/>
          </w:tcPr>
          <w:p>
            <w:r>
              <w:rPr>
                <w:b/>
                <w:sz w:val="18"/>
              </w:rPr>
              <w:t>Directional Acc. (%)</w:t>
            </w:r>
          </w:p>
        </w:tc>
      </w:tr>
      <w:tr>
        <w:tc>
          <w:tcPr>
            <w:tcW w:type="dxa" w:w="1417"/>
          </w:tcPr>
          <w:p>
            <w:r>
              <w:rPr>
                <w:sz w:val="18"/>
              </w:rPr>
              <w:t>V1</w:t>
            </w:r>
          </w:p>
        </w:tc>
        <w:tc>
          <w:tcPr>
            <w:tcW w:type="dxa" w:w="1417"/>
          </w:tcPr>
          <w:p>
            <w:r>
              <w:rPr>
                <w:sz w:val="18"/>
              </w:rPr>
              <w:t>4</w:t>
            </w:r>
          </w:p>
        </w:tc>
        <w:tc>
          <w:tcPr>
            <w:tcW w:type="dxa" w:w="1417"/>
          </w:tcPr>
          <w:p>
            <w:r>
              <w:rPr>
                <w:sz w:val="18"/>
              </w:rPr>
              <w:t>7.92</w:t>
            </w:r>
          </w:p>
        </w:tc>
        <w:tc>
          <w:tcPr>
            <w:tcW w:type="dxa" w:w="1984"/>
          </w:tcPr>
          <w:p>
            <w:r>
              <w:rPr>
                <w:sz w:val="18"/>
              </w:rPr>
              <w:t>100.0</w:t>
            </w:r>
          </w:p>
        </w:tc>
      </w:tr>
      <w:tr>
        <w:tc>
          <w:tcPr>
            <w:tcW w:type="dxa" w:w="1417"/>
          </w:tcPr>
          <w:p>
            <w:r>
              <w:rPr>
                <w:sz w:val="18"/>
              </w:rPr>
              <w:t>V2</w:t>
            </w:r>
          </w:p>
        </w:tc>
        <w:tc>
          <w:tcPr>
            <w:tcW w:type="dxa" w:w="1417"/>
          </w:tcPr>
          <w:p>
            <w:r>
              <w:rPr>
                <w:sz w:val="18"/>
              </w:rPr>
              <w:t>2</w:t>
            </w:r>
          </w:p>
        </w:tc>
        <w:tc>
          <w:tcPr>
            <w:tcW w:type="dxa" w:w="1417"/>
          </w:tcPr>
          <w:p>
            <w:r>
              <w:rPr>
                <w:sz w:val="18"/>
              </w:rPr>
              <w:t>0.88</w:t>
            </w:r>
          </w:p>
        </w:tc>
        <w:tc>
          <w:tcPr>
            <w:tcW w:type="dxa" w:w="1984"/>
          </w:tcPr>
          <w:p>
            <w:r>
              <w:rPr>
                <w:sz w:val="18"/>
              </w:rPr>
              <w:t>100.0</w:t>
            </w:r>
          </w:p>
        </w:tc>
      </w:tr>
      <w:tr>
        <w:tc>
          <w:tcPr>
            <w:tcW w:type="dxa" w:w="1417"/>
          </w:tcPr>
          <w:p>
            <w:r>
              <w:rPr>
                <w:sz w:val="18"/>
              </w:rPr>
              <w:t>V3</w:t>
            </w:r>
          </w:p>
        </w:tc>
        <w:tc>
          <w:tcPr>
            <w:tcW w:type="dxa" w:w="1417"/>
          </w:tcPr>
          <w:p>
            <w:r>
              <w:rPr>
                <w:sz w:val="18"/>
              </w:rPr>
              <w:t>2</w:t>
            </w:r>
          </w:p>
        </w:tc>
        <w:tc>
          <w:tcPr>
            <w:tcW w:type="dxa" w:w="1417"/>
          </w:tcPr>
          <w:p>
            <w:r>
              <w:rPr>
                <w:sz w:val="18"/>
              </w:rPr>
              <w:t>8.35</w:t>
            </w:r>
          </w:p>
        </w:tc>
        <w:tc>
          <w:tcPr>
            <w:tcW w:type="dxa" w:w="1984"/>
          </w:tcPr>
          <w:p>
            <w:r>
              <w:rPr>
                <w:sz w:val="18"/>
              </w:rPr>
              <w:t>100.0</w:t>
            </w:r>
          </w:p>
        </w:tc>
      </w:tr>
      <w:tr>
        <w:tc>
          <w:tcPr>
            <w:tcW w:type="dxa" w:w="1417"/>
          </w:tcPr>
          <w:p>
            <w:r>
              <w:rPr>
                <w:sz w:val="18"/>
              </w:rPr>
              <w:t>V4</w:t>
            </w:r>
          </w:p>
        </w:tc>
        <w:tc>
          <w:tcPr>
            <w:tcW w:type="dxa" w:w="1417"/>
          </w:tcPr>
          <w:p>
            <w:r>
              <w:rPr>
                <w:sz w:val="18"/>
              </w:rPr>
              <w:t>3</w:t>
            </w:r>
          </w:p>
        </w:tc>
        <w:tc>
          <w:tcPr>
            <w:tcW w:type="dxa" w:w="1417"/>
          </w:tcPr>
          <w:p>
            <w:r>
              <w:rPr>
                <w:sz w:val="18"/>
              </w:rPr>
              <w:t>0.57</w:t>
            </w:r>
          </w:p>
        </w:tc>
        <w:tc>
          <w:tcPr>
            <w:tcW w:type="dxa" w:w="1984"/>
          </w:tcPr>
          <w:p>
            <w:r>
              <w:rPr>
                <w:sz w:val="18"/>
              </w:rPr>
              <w:t>100.0</w:t>
            </w:r>
          </w:p>
        </w:tc>
      </w:tr>
      <w:tr>
        <w:tc>
          <w:tcPr>
            <w:tcW w:type="dxa" w:w="1417"/>
          </w:tcPr>
          <w:p>
            <w:r>
              <w:rPr>
                <w:sz w:val="18"/>
              </w:rPr>
              <w:t>V5</w:t>
            </w:r>
          </w:p>
        </w:tc>
        <w:tc>
          <w:tcPr>
            <w:tcW w:type="dxa" w:w="1417"/>
          </w:tcPr>
          <w:p>
            <w:r>
              <w:rPr>
                <w:sz w:val="18"/>
              </w:rPr>
              <w:t>2</w:t>
            </w:r>
          </w:p>
        </w:tc>
        <w:tc>
          <w:tcPr>
            <w:tcW w:type="dxa" w:w="1417"/>
          </w:tcPr>
          <w:p>
            <w:r>
              <w:rPr>
                <w:sz w:val="18"/>
              </w:rPr>
              <w:t>0.91</w:t>
            </w:r>
          </w:p>
        </w:tc>
        <w:tc>
          <w:tcPr>
            <w:tcW w:type="dxa" w:w="1984"/>
          </w:tcPr>
          <w:p>
            <w:r>
              <w:rPr>
                <w:sz w:val="18"/>
              </w:rPr>
              <w:t>100.0</w:t>
            </w:r>
          </w:p>
        </w:tc>
      </w:tr>
      <w:tr>
        <w:tc>
          <w:tcPr>
            <w:tcW w:type="dxa" w:w="1417"/>
          </w:tcPr>
          <w:p>
            <w:r>
              <w:rPr>
                <w:sz w:val="18"/>
              </w:rPr>
              <w:t>V6</w:t>
            </w:r>
          </w:p>
        </w:tc>
        <w:tc>
          <w:tcPr>
            <w:tcW w:type="dxa" w:w="1417"/>
          </w:tcPr>
          <w:p>
            <w:r>
              <w:rPr>
                <w:sz w:val="18"/>
              </w:rPr>
              <w:t>3</w:t>
            </w:r>
          </w:p>
        </w:tc>
        <w:tc>
          <w:tcPr>
            <w:tcW w:type="dxa" w:w="1417"/>
          </w:tcPr>
          <w:p>
            <w:r>
              <w:rPr>
                <w:sz w:val="18"/>
              </w:rPr>
              <w:t>5.79</w:t>
            </w:r>
          </w:p>
        </w:tc>
        <w:tc>
          <w:tcPr>
            <w:tcW w:type="dxa" w:w="1984"/>
          </w:tcPr>
          <w:p>
            <w:r>
              <w:rPr>
                <w:sz w:val="18"/>
              </w:rPr>
              <w:t>100.0</w:t>
            </w:r>
          </w:p>
        </w:tc>
      </w:tr>
      <w:tr>
        <w:tc>
          <w:tcPr>
            <w:tcW w:type="dxa" w:w="1417"/>
          </w:tcPr>
          <w:p>
            <w:r>
              <w:rPr>
                <w:sz w:val="18"/>
              </w:rPr>
              <w:t>V7</w:t>
            </w:r>
          </w:p>
        </w:tc>
        <w:tc>
          <w:tcPr>
            <w:tcW w:type="dxa" w:w="1417"/>
          </w:tcPr>
          <w:p>
            <w:r>
              <w:rPr>
                <w:sz w:val="18"/>
              </w:rPr>
              <w:t>3</w:t>
            </w:r>
          </w:p>
        </w:tc>
        <w:tc>
          <w:tcPr>
            <w:tcW w:type="dxa" w:w="1417"/>
          </w:tcPr>
          <w:p>
            <w:r>
              <w:rPr>
                <w:sz w:val="18"/>
              </w:rPr>
              <w:t>1.14</w:t>
            </w:r>
          </w:p>
        </w:tc>
        <w:tc>
          <w:tcPr>
            <w:tcW w:type="dxa" w:w="1984"/>
          </w:tcPr>
          <w:p>
            <w:r>
              <w:rPr>
                <w:sz w:val="18"/>
              </w:rPr>
              <w:t>100.0</w:t>
            </w:r>
          </w:p>
        </w:tc>
      </w:tr>
      <w:tr>
        <w:tc>
          <w:tcPr>
            <w:tcW w:type="dxa" w:w="1417"/>
          </w:tcPr>
          <w:p>
            <w:r>
              <w:rPr>
                <w:sz w:val="18"/>
              </w:rPr>
              <w:t>OVERALL</w:t>
            </w:r>
          </w:p>
        </w:tc>
        <w:tc>
          <w:tcPr>
            <w:tcW w:type="dxa" w:w="1417"/>
          </w:tcPr>
          <w:p>
            <w:r>
              <w:rPr>
                <w:sz w:val="18"/>
              </w:rPr>
              <w:t>19</w:t>
            </w:r>
          </w:p>
        </w:tc>
        <w:tc>
          <w:tcPr>
            <w:tcW w:type="dxa" w:w="1417"/>
          </w:tcPr>
          <w:p>
            <w:r>
              <w:rPr>
                <w:sz w:val="18"/>
              </w:rPr>
              <w:t>3.92</w:t>
            </w:r>
          </w:p>
        </w:tc>
        <w:tc>
          <w:tcPr>
            <w:tcW w:type="dxa" w:w="1984"/>
          </w:tcPr>
          <w:p>
            <w:r>
              <w:rPr>
                <w:sz w:val="18"/>
              </w:rPr>
              <w:t>100.0</w:t>
            </w:r>
          </w:p>
        </w:tc>
      </w:tr>
    </w:tbl>
    <w:p>
      <w:r>
        <w:rPr>
          <w:i/>
          <w:color w:val="646464"/>
          <w:sz w:val="17"/>
        </w:rPr>
        <w:t>Source: MAE = Mean Absolute Error in percentage points. Directional accuracy = fraction of comparisons where model and observed sign (price rise/fall, welfare loss direction) agree. Validation comparisons use ONS RSI, HMRC OTS API, EIA, ICIS, Drewry WCI, Freightos FBX, Bloomberg, S&amp;P Global Platts.</w:t>
      </w:r>
    </w:p>
    <w:p>
      <w:pPr>
        <w:pStyle w:val="Heading2"/>
      </w:pPr>
      <w:r>
        <w:t>1.2 Per-Event Data Source Documentation</w:t>
      </w:r>
    </w:p>
    <w:p>
      <w:pPr>
        <w:pStyle w:val="Heading3"/>
      </w:pPr>
      <w:r>
        <w:t>Event V1: COVID-19 Pandemic Shock (2020 Q1–Q2)</w:t>
      </w:r>
    </w:p>
    <w:p>
      <w:pPr>
        <w:jc w:val="both"/>
      </w:pPr>
      <w:r>
        <w:rPr>
          <w:b w:val="0"/>
          <w:i/>
          <w:sz w:val="20"/>
        </w:rPr>
        <w:t>Period: 2020 Q1–Q2 (weeks 1–26)</w:t>
      </w:r>
    </w:p>
    <w:p>
      <w:pPr>
        <w:jc w:val="both"/>
      </w:pPr>
      <w:r>
        <w:rPr>
          <w:b/>
          <w:i w:val="0"/>
          <w:sz w:val="21"/>
        </w:rPr>
        <w:t>Primary data sources:</w:t>
      </w:r>
    </w:p>
    <w:p>
      <w:pPr>
        <w:pStyle w:val="ListBullet"/>
      </w:pPr>
      <w:r>
        <w:rPr>
          <w:sz w:val="21"/>
        </w:rPr>
        <w:t>ONS Retail Sales Index Apr 2020: clothing/footwear −43.5% YoY</w:t>
      </w:r>
    </w:p>
    <w:p>
      <w:pPr>
        <w:pStyle w:val="ListBullet"/>
      </w:pPr>
      <w:r>
        <w:rPr>
          <w:sz w:val="21"/>
        </w:rPr>
        <w:t>HMRC OTS API (2026-04-17): UK synthetic apparel imports from China −27.2% value, −28.4% volume in 2020 vs 2019</w:t>
      </w:r>
    </w:p>
    <w:p>
      <w:pPr>
        <w:pStyle w:val="ListBullet"/>
      </w:pPr>
      <w:r>
        <w:rPr>
          <w:sz w:val="21"/>
        </w:rPr>
        <w:t>NBS China: manufacturing PMI Feb 2020 = 35.7 (vs 50 neutral)</w:t>
      </w:r>
    </w:p>
    <w:p>
      <w:pPr>
        <w:pStyle w:val="ListBullet"/>
      </w:pPr>
      <w:r>
        <w:rPr>
          <w:sz w:val="21"/>
        </w:rPr>
        <w:t>Freightos: China–UK freight rates +180% by Aug 2020</w:t>
      </w:r>
    </w:p>
    <w:p>
      <w:pPr>
        <w:pStyle w:val="ListBullet"/>
      </w:pPr>
      <w:r>
        <w:rPr>
          <w:sz w:val="21"/>
        </w:rPr>
        <w:t>ICIS: polyester fibre price −18% Mar 2020, then +35% by end 2020</w:t>
      </w:r>
    </w:p>
    <w:p>
      <w:pPr>
        <w:pStyle w:val="ListBullet"/>
      </w:pPr>
      <w:r>
        <w:rPr>
          <w:sz w:val="21"/>
        </w:rPr>
        <w:t>ILO: garment sector jobs lost ~25% globally Q1-Q2 2020</w:t>
      </w:r>
    </w:p>
    <w:p>
      <w:pPr>
        <w:jc w:val="both"/>
      </w:pPr>
      <w:r>
        <w:rPr>
          <w:b/>
          <w:i w:val="0"/>
          <w:sz w:val="21"/>
        </w:rPr>
        <w:t>Model predictions:</w:t>
      </w:r>
    </w:p>
    <w:tbl>
      <w:tblPr>
        <w:tblStyle w:val="LightShading-Accent1"/>
        <w:tblW w:type="auto" w:w="0"/>
        <w:tblLook w:firstColumn="1" w:firstRow="1" w:lastColumn="0" w:lastRow="0" w:noHBand="0" w:noVBand="1" w:val="04A0"/>
      </w:tblPr>
      <w:tblGrid>
        <w:gridCol w:w="3022"/>
        <w:gridCol w:w="3022"/>
        <w:gridCol w:w="3022"/>
      </w:tblGrid>
      <w:tr>
        <w:tc>
          <w:tcPr>
            <w:tcW w:type="dxa" w:w="1984"/>
          </w:tcPr>
          <w:p>
            <w:r>
              <w:rPr>
                <w:b/>
                <w:sz w:val="18"/>
              </w:rPr>
              <w:t>Sector</w:t>
            </w:r>
          </w:p>
        </w:tc>
        <w:tc>
          <w:tcPr>
            <w:tcW w:type="dxa" w:w="1984"/>
          </w:tcPr>
          <w:p>
            <w:r>
              <w:rPr>
                <w:b/>
                <w:sz w:val="18"/>
              </w:rPr>
              <w:t>CGE Price Change (%)</w:t>
            </w:r>
          </w:p>
        </w:tc>
        <w:tc>
          <w:tcPr>
            <w:tcW w:type="dxa" w:w="1417"/>
          </w:tcPr>
          <w:p>
            <w:r>
              <w:rPr>
                <w:b/>
                <w:sz w:val="18"/>
              </w:rPr>
              <w:t>Direction</w:t>
            </w:r>
          </w:p>
        </w:tc>
      </w:tr>
      <w:tr>
        <w:tc>
          <w:tcPr>
            <w:tcW w:type="dxa" w:w="1984"/>
          </w:tcPr>
          <w:p>
            <w:r>
              <w:rPr>
                <w:sz w:val="18"/>
              </w:rPr>
              <w:t>Oil</w:t>
            </w:r>
          </w:p>
        </w:tc>
        <w:tc>
          <w:tcPr>
            <w:tcW w:type="dxa" w:w="1984"/>
          </w:tcPr>
          <w:p>
            <w:r>
              <w:rPr>
                <w:sz w:val="18"/>
              </w:rPr>
              <w:t>+0.00%</w:t>
            </w:r>
          </w:p>
        </w:tc>
        <w:tc>
          <w:tcPr>
            <w:tcW w:type="dxa" w:w="1417"/>
          </w:tcPr>
          <w:p>
            <w:r>
              <w:rPr>
                <w:sz w:val="18"/>
              </w:rPr>
              <w:t>→ Stable</w:t>
            </w:r>
          </w:p>
        </w:tc>
      </w:tr>
      <w:tr>
        <w:tc>
          <w:tcPr>
            <w:tcW w:type="dxa" w:w="1984"/>
          </w:tcPr>
          <w:p>
            <w:r>
              <w:rPr>
                <w:sz w:val="18"/>
              </w:rPr>
              <w:t>Chemical</w:t>
            </w:r>
          </w:p>
        </w:tc>
        <w:tc>
          <w:tcPr>
            <w:tcW w:type="dxa" w:w="1984"/>
          </w:tcPr>
          <w:p>
            <w:r>
              <w:rPr>
                <w:sz w:val="18"/>
              </w:rPr>
              <w:t>+4.55%</w:t>
            </w:r>
          </w:p>
        </w:tc>
        <w:tc>
          <w:tcPr>
            <w:tcW w:type="dxa" w:w="1417"/>
          </w:tcPr>
          <w:p>
            <w:r>
              <w:rPr>
                <w:sz w:val="18"/>
              </w:rPr>
              <w:t>↑ Rise</w:t>
            </w:r>
          </w:p>
        </w:tc>
      </w:tr>
      <w:tr>
        <w:tc>
          <w:tcPr>
            <w:tcW w:type="dxa" w:w="1984"/>
          </w:tcPr>
          <w:p>
            <w:r>
              <w:rPr>
                <w:sz w:val="18"/>
              </w:rPr>
              <w:t>PTA</w:t>
            </w:r>
          </w:p>
        </w:tc>
        <w:tc>
          <w:tcPr>
            <w:tcW w:type="dxa" w:w="1984"/>
          </w:tcPr>
          <w:p>
            <w:r>
              <w:rPr>
                <w:sz w:val="18"/>
              </w:rPr>
              <w:t>+24.33%</w:t>
            </w:r>
          </w:p>
        </w:tc>
        <w:tc>
          <w:tcPr>
            <w:tcW w:type="dxa" w:w="1417"/>
          </w:tcPr>
          <w:p>
            <w:r>
              <w:rPr>
                <w:sz w:val="18"/>
              </w:rPr>
              <w:t>↑ Rise</w:t>
            </w:r>
          </w:p>
        </w:tc>
      </w:tr>
      <w:tr>
        <w:tc>
          <w:tcPr>
            <w:tcW w:type="dxa" w:w="1984"/>
          </w:tcPr>
          <w:p>
            <w:r>
              <w:rPr>
                <w:sz w:val="18"/>
              </w:rPr>
              <w:t>PET</w:t>
            </w:r>
          </w:p>
        </w:tc>
        <w:tc>
          <w:tcPr>
            <w:tcW w:type="dxa" w:w="1984"/>
          </w:tcPr>
          <w:p>
            <w:r>
              <w:rPr>
                <w:sz w:val="18"/>
              </w:rPr>
              <w:t>+17.02%</w:t>
            </w:r>
          </w:p>
        </w:tc>
        <w:tc>
          <w:tcPr>
            <w:tcW w:type="dxa" w:w="1417"/>
          </w:tcPr>
          <w:p>
            <w:r>
              <w:rPr>
                <w:sz w:val="18"/>
              </w:rPr>
              <w:t>↑ Rise</w:t>
            </w:r>
          </w:p>
        </w:tc>
      </w:tr>
      <w:tr>
        <w:tc>
          <w:tcPr>
            <w:tcW w:type="dxa" w:w="1984"/>
          </w:tcPr>
          <w:p>
            <w:r>
              <w:rPr>
                <w:sz w:val="18"/>
              </w:rPr>
              <w:t>Fabric</w:t>
            </w:r>
          </w:p>
        </w:tc>
        <w:tc>
          <w:tcPr>
            <w:tcW w:type="dxa" w:w="1984"/>
          </w:tcPr>
          <w:p>
            <w:r>
              <w:rPr>
                <w:sz w:val="18"/>
              </w:rPr>
              <w:t>+5.21%</w:t>
            </w:r>
          </w:p>
        </w:tc>
        <w:tc>
          <w:tcPr>
            <w:tcW w:type="dxa" w:w="1417"/>
          </w:tcPr>
          <w:p>
            <w:r>
              <w:rPr>
                <w:sz w:val="18"/>
              </w:rPr>
              <w:t>↑ Rise</w:t>
            </w:r>
          </w:p>
        </w:tc>
      </w:tr>
      <w:tr>
        <w:tc>
          <w:tcPr>
            <w:tcW w:type="dxa" w:w="1984"/>
          </w:tcPr>
          <w:p>
            <w:r>
              <w:rPr>
                <w:sz w:val="18"/>
              </w:rPr>
              <w:t>Garment</w:t>
            </w:r>
          </w:p>
        </w:tc>
        <w:tc>
          <w:tcPr>
            <w:tcW w:type="dxa" w:w="1984"/>
          </w:tcPr>
          <w:p>
            <w:r>
              <w:rPr>
                <w:sz w:val="18"/>
              </w:rPr>
              <w:t>+10.01%</w:t>
            </w:r>
          </w:p>
        </w:tc>
        <w:tc>
          <w:tcPr>
            <w:tcW w:type="dxa" w:w="1417"/>
          </w:tcPr>
          <w:p>
            <w:r>
              <w:rPr>
                <w:sz w:val="18"/>
              </w:rPr>
              <w:t>↑ Rise</w:t>
            </w:r>
          </w:p>
        </w:tc>
      </w:tr>
      <w:tr>
        <w:tc>
          <w:tcPr>
            <w:tcW w:type="dxa" w:w="1984"/>
          </w:tcPr>
          <w:p>
            <w:r>
              <w:rPr>
                <w:sz w:val="18"/>
              </w:rPr>
              <w:t>Wholesale</w:t>
            </w:r>
          </w:p>
        </w:tc>
        <w:tc>
          <w:tcPr>
            <w:tcW w:type="dxa" w:w="1984"/>
          </w:tcPr>
          <w:p>
            <w:r>
              <w:rPr>
                <w:sz w:val="18"/>
              </w:rPr>
              <w:t>+0.00%</w:t>
            </w:r>
          </w:p>
        </w:tc>
        <w:tc>
          <w:tcPr>
            <w:tcW w:type="dxa" w:w="1417"/>
          </w:tcPr>
          <w:p>
            <w:r>
              <w:rPr>
                <w:sz w:val="18"/>
              </w:rPr>
              <w:t>→ Stable</w:t>
            </w:r>
          </w:p>
        </w:tc>
      </w:tr>
      <w:tr>
        <w:tc>
          <w:tcPr>
            <w:tcW w:type="dxa" w:w="1984"/>
          </w:tcPr>
          <w:p>
            <w:r>
              <w:rPr>
                <w:sz w:val="18"/>
              </w:rPr>
              <w:t>Retail</w:t>
            </w:r>
          </w:p>
        </w:tc>
        <w:tc>
          <w:tcPr>
            <w:tcW w:type="dxa" w:w="1984"/>
          </w:tcPr>
          <w:p>
            <w:r>
              <w:rPr>
                <w:sz w:val="18"/>
              </w:rPr>
              <w:t>+0.00%</w:t>
            </w:r>
          </w:p>
        </w:tc>
        <w:tc>
          <w:tcPr>
            <w:tcW w:type="dxa" w:w="1417"/>
          </w:tcPr>
          <w:p>
            <w:r>
              <w:rPr>
                <w:sz w:val="18"/>
              </w:rPr>
              <w:t>→ Stable</w:t>
            </w:r>
          </w:p>
        </w:tc>
      </w:tr>
    </w:tbl>
    <w:p>
      <w:pPr>
        <w:jc w:val="both"/>
      </w:pPr>
      <w:r>
        <w:rPr>
          <w:b w:val="0"/>
          <w:i/>
          <w:sz w:val="19"/>
        </w:rPr>
        <w:t>Welfare change: £-1.013bn</w:t>
      </w:r>
    </w:p>
    <w:p/>
    <w:p>
      <w:pPr>
        <w:jc w:val="both"/>
      </w:pPr>
      <w:r>
        <w:rPr>
          <w:b/>
          <w:i w:val="0"/>
          <w:sz w:val="21"/>
        </w:rPr>
        <w:t>Comparison: Model vs Observed</w:t>
      </w:r>
    </w:p>
    <w:tbl>
      <w:tblPr>
        <w:tblStyle w:val="LightShading-Accent1"/>
        <w:tblW w:type="auto" w:w="0"/>
        <w:tblLook w:firstColumn="1" w:firstRow="1" w:lastColumn="0" w:lastRow="0" w:noHBand="0" w:noVBand="1" w:val="04A0"/>
      </w:tblPr>
      <w:tblGrid>
        <w:gridCol w:w="1511"/>
        <w:gridCol w:w="1511"/>
        <w:gridCol w:w="1511"/>
        <w:gridCol w:w="1511"/>
        <w:gridCol w:w="1511"/>
        <w:gridCol w:w="1511"/>
      </w:tblGrid>
      <w:tr>
        <w:tc>
          <w:tcPr>
            <w:tcW w:type="dxa" w:w="2551"/>
          </w:tcPr>
          <w:p>
            <w:r>
              <w:rPr>
                <w:b/>
                <w:sz w:val="18"/>
              </w:rPr>
              <w:t>Observable</w:t>
            </w:r>
          </w:p>
        </w:tc>
        <w:tc>
          <w:tcPr>
            <w:tcW w:type="dxa" w:w="1134"/>
          </w:tcPr>
          <w:p>
            <w:r>
              <w:rPr>
                <w:b/>
                <w:sz w:val="18"/>
              </w:rPr>
              <w:t>Observed</w:t>
            </w:r>
          </w:p>
        </w:tc>
        <w:tc>
          <w:tcPr>
            <w:tcW w:type="dxa" w:w="1020"/>
          </w:tcPr>
          <w:p>
            <w:r>
              <w:rPr>
                <w:b/>
                <w:sz w:val="18"/>
              </w:rPr>
              <w:t>Model</w:t>
            </w:r>
          </w:p>
        </w:tc>
        <w:tc>
          <w:tcPr>
            <w:tcW w:type="dxa" w:w="1020"/>
          </w:tcPr>
          <w:p>
            <w:r>
              <w:rPr>
                <w:b/>
                <w:sz w:val="18"/>
              </w:rPr>
              <w:t>Abs_Error</w:t>
            </w:r>
          </w:p>
        </w:tc>
        <w:tc>
          <w:tcPr>
            <w:tcW w:type="dxa" w:w="1020"/>
          </w:tcPr>
          <w:p>
            <w:r>
              <w:rPr>
                <w:b/>
                <w:sz w:val="18"/>
              </w:rPr>
              <w:t>Error_%</w:t>
            </w:r>
          </w:p>
        </w:tc>
        <w:tc>
          <w:tcPr>
            <w:tcW w:type="dxa" w:w="1134"/>
          </w:tcPr>
          <w:p>
            <w:r>
              <w:rPr>
                <w:b/>
                <w:sz w:val="18"/>
              </w:rPr>
              <w:t>Direction_OK</w:t>
            </w:r>
          </w:p>
        </w:tc>
      </w:tr>
      <w:tr>
        <w:tc>
          <w:tcPr>
            <w:tcW w:type="dxa" w:w="2551"/>
          </w:tcPr>
          <w:p>
            <w:r>
              <w:rPr>
                <w:sz w:val="18"/>
              </w:rPr>
              <w:t>Price rise % at PTA_Production</w:t>
            </w:r>
          </w:p>
        </w:tc>
        <w:tc>
          <w:tcPr>
            <w:tcW w:type="dxa" w:w="1134"/>
          </w:tcPr>
          <w:p>
            <w:r>
              <w:rPr>
                <w:sz w:val="18"/>
              </w:rPr>
              <w:t>35.0</w:t>
            </w:r>
          </w:p>
        </w:tc>
        <w:tc>
          <w:tcPr>
            <w:tcW w:type="dxa" w:w="1020"/>
          </w:tcPr>
          <w:p>
            <w:r>
              <w:rPr>
                <w:sz w:val="18"/>
              </w:rPr>
              <w:t>24.3</w:t>
            </w:r>
          </w:p>
        </w:tc>
        <w:tc>
          <w:tcPr>
            <w:tcW w:type="dxa" w:w="1020"/>
          </w:tcPr>
          <w:p>
            <w:r>
              <w:rPr>
                <w:sz w:val="18"/>
              </w:rPr>
              <w:t>10.7</w:t>
            </w:r>
          </w:p>
        </w:tc>
        <w:tc>
          <w:tcPr>
            <w:tcW w:type="dxa" w:w="1020"/>
          </w:tcPr>
          <w:p>
            <w:r>
              <w:rPr>
                <w:sz w:val="18"/>
              </w:rPr>
              <w:t>-30.5</w:t>
            </w:r>
          </w:p>
        </w:tc>
        <w:tc>
          <w:tcPr>
            <w:tcW w:type="dxa" w:w="1134"/>
          </w:tcPr>
          <w:p>
            <w:r>
              <w:rPr>
                <w:sz w:val="18"/>
              </w:rPr>
              <w:t>True</w:t>
            </w:r>
          </w:p>
        </w:tc>
      </w:tr>
      <w:tr>
        <w:tc>
          <w:tcPr>
            <w:tcW w:type="dxa" w:w="2551"/>
          </w:tcPr>
          <w:p>
            <w:r>
              <w:rPr>
                <w:sz w:val="18"/>
              </w:rPr>
              <w:t>Welfare loss (£bn)</w:t>
            </w:r>
          </w:p>
        </w:tc>
        <w:tc>
          <w:tcPr>
            <w:tcW w:type="dxa" w:w="1134"/>
          </w:tcPr>
          <w:p>
            <w:r>
              <w:rPr>
                <w:sz w:val="18"/>
              </w:rPr>
              <w:t>4.0–8.0 (mid 6.0)</w:t>
            </w:r>
          </w:p>
        </w:tc>
        <w:tc>
          <w:tcPr>
            <w:tcW w:type="dxa" w:w="1020"/>
          </w:tcPr>
          <w:p>
            <w:r>
              <w:rPr>
                <w:sz w:val="18"/>
              </w:rPr>
              <w:t>1.01</w:t>
            </w:r>
          </w:p>
        </w:tc>
        <w:tc>
          <w:tcPr>
            <w:tcW w:type="dxa" w:w="1020"/>
          </w:tcPr>
          <w:p>
            <w:r>
              <w:rPr>
                <w:sz w:val="18"/>
              </w:rPr>
              <w:t>4.99</w:t>
            </w:r>
          </w:p>
        </w:tc>
        <w:tc>
          <w:tcPr>
            <w:tcW w:type="dxa" w:w="1020"/>
          </w:tcPr>
          <w:p>
            <w:r>
              <w:rPr>
                <w:sz w:val="18"/>
              </w:rPr>
              <w:t>83.1</w:t>
            </w:r>
          </w:p>
        </w:tc>
        <w:tc>
          <w:tcPr>
            <w:tcW w:type="dxa" w:w="1134"/>
          </w:tcPr>
          <w:p>
            <w:r>
              <w:rPr>
                <w:sz w:val="18"/>
              </w:rPr>
              <w:t>True</w:t>
            </w:r>
          </w:p>
        </w:tc>
      </w:tr>
      <w:tr>
        <w:tc>
          <w:tcPr>
            <w:tcW w:type="dxa" w:w="2551"/>
          </w:tcPr>
          <w:p>
            <w:r>
              <w:rPr>
                <w:sz w:val="18"/>
              </w:rPr>
              <w:t>Supply/output change % at Garment_Assembly</w:t>
            </w:r>
          </w:p>
        </w:tc>
        <w:tc>
          <w:tcPr>
            <w:tcW w:type="dxa" w:w="1134"/>
          </w:tcPr>
          <w:p>
            <w:r>
              <w:rPr>
                <w:sz w:val="18"/>
              </w:rPr>
              <w:t>-27.5</w:t>
            </w:r>
          </w:p>
        </w:tc>
        <w:tc>
          <w:tcPr>
            <w:tcW w:type="dxa" w:w="1020"/>
          </w:tcPr>
          <w:p>
            <w:r>
              <w:rPr>
                <w:sz w:val="18"/>
              </w:rPr>
              <w:t>-43.5</w:t>
            </w:r>
          </w:p>
        </w:tc>
        <w:tc>
          <w:tcPr>
            <w:tcW w:type="dxa" w:w="1020"/>
          </w:tcPr>
          <w:p>
            <w:r>
              <w:rPr>
                <w:sz w:val="18"/>
              </w:rPr>
              <w:t>16.0</w:t>
            </w:r>
          </w:p>
        </w:tc>
        <w:tc>
          <w:tcPr>
            <w:tcW w:type="dxa" w:w="1020"/>
          </w:tcPr>
          <w:p>
            <w:r>
              <w:rPr>
                <w:sz w:val="18"/>
              </w:rPr>
              <w:t>58.2</w:t>
            </w:r>
          </w:p>
        </w:tc>
        <w:tc>
          <w:tcPr>
            <w:tcW w:type="dxa" w:w="1134"/>
          </w:tcPr>
          <w:p>
            <w:r>
              <w:rPr>
                <w:sz w:val="18"/>
              </w:rPr>
              <w:t>True</w:t>
            </w:r>
          </w:p>
        </w:tc>
      </w:tr>
      <w:tr>
        <w:tc>
          <w:tcPr>
            <w:tcW w:type="dxa" w:w="2551"/>
          </w:tcPr>
          <w:p>
            <w:r>
              <w:rPr>
                <w:sz w:val="18"/>
              </w:rPr>
              <w:t>Output change % at UK_Retail</w:t>
            </w:r>
          </w:p>
        </w:tc>
        <w:tc>
          <w:tcPr>
            <w:tcW w:type="dxa" w:w="1134"/>
          </w:tcPr>
          <w:p>
            <w:r>
              <w:rPr>
                <w:sz w:val="18"/>
              </w:rPr>
              <w:t>-43.5</w:t>
            </w:r>
          </w:p>
        </w:tc>
        <w:tc>
          <w:tcPr>
            <w:tcW w:type="dxa" w:w="1020"/>
          </w:tcPr>
          <w:p>
            <w:r>
              <w:rPr>
                <w:sz w:val="18"/>
              </w:rPr>
              <w:t>-43.5</w:t>
            </w:r>
          </w:p>
        </w:tc>
        <w:tc>
          <w:tcPr>
            <w:tcW w:type="dxa" w:w="1020"/>
          </w:tcPr>
          <w:p>
            <w:r>
              <w:rPr>
                <w:sz w:val="18"/>
              </w:rPr>
              <w:t>0.0</w:t>
            </w:r>
          </w:p>
        </w:tc>
        <w:tc>
          <w:tcPr>
            <w:tcW w:type="dxa" w:w="1020"/>
          </w:tcPr>
          <w:p>
            <w:r>
              <w:rPr>
                <w:sz w:val="18"/>
              </w:rPr>
              <w:t>0.0</w:t>
            </w:r>
          </w:p>
        </w:tc>
        <w:tc>
          <w:tcPr>
            <w:tcW w:type="dxa" w:w="1134"/>
          </w:tcPr>
          <w:p>
            <w:r>
              <w:rPr>
                <w:sz w:val="18"/>
              </w:rPr>
              <w:t>True</w:t>
            </w:r>
          </w:p>
        </w:tc>
      </w:tr>
    </w:tbl>
    <w:p/>
    <w:p>
      <w:pPr>
        <w:jc w:val="both"/>
      </w:pPr>
      <w:r>
        <w:rPr>
          <w:b/>
          <w:i w:val="0"/>
          <w:sz w:val="21"/>
        </w:rPr>
        <w:t>Data source detail by observable:</w:t>
      </w:r>
    </w:p>
    <w:p>
      <w:pPr>
        <w:pStyle w:val="ListBullet"/>
      </w:pPr>
      <w:r>
        <w:rPr>
          <w:sz w:val="21"/>
        </w:rPr>
        <w:t>Max price rise at PTA_Production (+35%)</w:t>
      </w:r>
    </w:p>
    <w:p>
      <w:pPr>
        <w:ind w:left="567"/>
      </w:pPr>
      <w:r>
        <w:rPr>
          <w:b/>
          <w:sz w:val="19"/>
        </w:rPr>
        <w:t>Source: ICIS polyester fibre spot price series (2020)</w:t>
      </w:r>
    </w:p>
    <w:p>
      <w:pPr>
        <w:ind w:left="567"/>
      </w:pPr>
      <w:r>
        <w:rPr>
          <w:sz w:val="19"/>
        </w:rPr>
        <w:t>ICIS reports polyester staple fibre prices fell −18% in March 2020 (demand collapse) then recovered +35% by end-2020 (supply shortage + restocking surge). The +35% is used as the peak price change observable. ICIS data is a subscription commodity intelligence service; values corroborated by IHS Markit polyester fibre index.</w:t>
      </w:r>
    </w:p>
    <w:p>
      <w:pPr>
        <w:ind w:left="567"/>
      </w:pPr>
      <w:r>
        <w:rPr>
          <w:b/>
          <w:sz w:val="19"/>
        </w:rPr>
        <w:t xml:space="preserve">Operationalisation: </w:t>
      </w:r>
      <w:r>
        <w:rPr>
          <w:sz w:val="19"/>
        </w:rPr>
        <w:t>Applied as the observed 'max_price_rise_pct' at the PTA_Production sector. Model reproduces with CGE Armington equilibrium given cge_supply[2]=0.77.</w:t>
      </w:r>
    </w:p>
    <w:p>
      <w:pPr>
        <w:ind w:left="567"/>
      </w:pPr>
      <w:r>
        <w:rPr>
          <w:b/>
          <w:sz w:val="19"/>
        </w:rPr>
        <w:t xml:space="preserve">Limitation: </w:t>
      </w:r>
      <w:r>
        <w:rPr>
          <w:sz w:val="19"/>
        </w:rPr>
        <w:t>ICIS reports fibre prices, not PTA prices directly. PTA is one step upstream; the +35% fibre price is used as a proxy for the upstream PTA price shock.</w:t>
      </w:r>
    </w:p>
    <w:p>
      <w:pPr>
        <w:pStyle w:val="ListBullet"/>
      </w:pPr>
      <w:r>
        <w:rPr>
          <w:sz w:val="21"/>
        </w:rPr>
        <w:t>UK synthetic apparel imports −27.5% (Garment stage)</w:t>
      </w:r>
    </w:p>
    <w:p>
      <w:pPr>
        <w:ind w:left="567"/>
      </w:pPr>
      <w:r>
        <w:rPr>
          <w:b/>
          <w:sz w:val="19"/>
        </w:rPr>
        <w:t>Source: HMRC OTS API, downloaded 2026-04-17; HS61+62 synthetic apparel, all countries, 2020 vs 2019 annual</w:t>
      </w:r>
    </w:p>
    <w:p>
      <w:pPr>
        <w:ind w:left="567"/>
      </w:pPr>
      <w:r>
        <w:rPr>
          <w:sz w:val="19"/>
        </w:rPr>
        <w:t>HMRC reports UK synthetic apparel imports fell from £2,705.6m (2019) to £1,961.6m (2020), a −27.5% decline. China-specific: £655.4m→£477.0m = −27.2% value, −28.4% volume. These are authoritative customs statistics from the UK Government trade database, accessed via the OTS public API.</w:t>
      </w:r>
    </w:p>
    <w:p>
      <w:pPr>
        <w:ind w:left="567"/>
      </w:pPr>
      <w:r>
        <w:rPr>
          <w:b/>
          <w:sz w:val="19"/>
        </w:rPr>
        <w:t xml:space="preserve">Operationalisation: </w:t>
      </w:r>
      <w:r>
        <w:rPr>
          <w:sz w:val="19"/>
        </w:rPr>
        <w:t>Used as the IO model validation metric: IO output drop at Garment_Assembly should be approximately −27.5% at the shock nadir.</w:t>
      </w:r>
    </w:p>
    <w:p>
      <w:pPr>
        <w:ind w:left="567"/>
      </w:pPr>
      <w:r>
        <w:rPr>
          <w:b/>
          <w:sz w:val="19"/>
        </w:rPr>
        <w:t xml:space="preserve">Limitation: </w:t>
      </w:r>
      <w:r>
        <w:rPr>
          <w:sz w:val="19"/>
        </w:rPr>
        <w:t>Annual figure includes partial recovery in H2 2020. Peak quarterly drop (Q2 2020) was steeper (~−43% by volume). Model nadir is compared against annual average.</w:t>
      </w:r>
    </w:p>
    <w:p>
      <w:pPr>
        <w:pStyle w:val="ListBullet"/>
      </w:pPr>
      <w:r>
        <w:rPr>
          <w:sz w:val="21"/>
        </w:rPr>
        <w:t>UK retail clothing output −43.5% (UK_Retail stage)</w:t>
      </w:r>
    </w:p>
    <w:p>
      <w:pPr>
        <w:ind w:left="567"/>
      </w:pPr>
      <w:r>
        <w:rPr>
          <w:b/>
          <w:sz w:val="19"/>
        </w:rPr>
        <w:t>Source: ONS Retail Sales Index (RSI), Monthly Business Survey. April 2020 release. Series: Non-food stores / Clothing and footwear.</w:t>
      </w:r>
    </w:p>
    <w:p>
      <w:pPr>
        <w:ind w:left="567"/>
      </w:pPr>
      <w:r>
        <w:rPr>
          <w:sz w:val="19"/>
        </w:rPr>
        <w:t>ONS RSI measures value of retail sales. April 2020 clothing/footwear sub-index fell 43.5% year-on-year (non-essential store closures from 23 March lockdown). The ONS RSI is a monthly survey of ~5,000 UK retailers; response rate ~85%. Published monthly, approx 4-week lag.</w:t>
      </w:r>
    </w:p>
    <w:p>
      <w:pPr>
        <w:ind w:left="567"/>
      </w:pPr>
      <w:r>
        <w:rPr>
          <w:b/>
          <w:sz w:val="19"/>
        </w:rPr>
        <w:t xml:space="preserve">Operationalisation: </w:t>
      </w:r>
      <w:r>
        <w:rPr>
          <w:sz w:val="19"/>
        </w:rPr>
        <w:t>Directly calibrates the IO demand shock at UK_Retail: io_demand_shock_schedule[4] = 0.565 (= 1 − 0.435). Also calibrates cge_demand_shocks[7] = 0.565.</w:t>
      </w:r>
    </w:p>
    <w:p>
      <w:pPr>
        <w:ind w:left="567"/>
      </w:pPr>
      <w:r>
        <w:rPr>
          <w:b/>
          <w:sz w:val="19"/>
        </w:rPr>
        <w:t xml:space="preserve">Limitation: </w:t>
      </w:r>
      <w:r>
        <w:rPr>
          <w:sz w:val="19"/>
        </w:rPr>
        <w:t>RSI captures retail sales value, not volume. In April 2020 there was minimal price inflation, so value ≈ volume. Annual average recovery means the full-year IO loss is smaller than peak-week loss.</w:t>
      </w:r>
    </w:p>
    <w:p>
      <w:pPr>
        <w:pStyle w:val="ListBullet"/>
      </w:pPr>
      <w:r>
        <w:rPr>
          <w:sz w:val="21"/>
        </w:rPr>
        <w:t>Welfare loss £4–8bn (range)</w:t>
      </w:r>
    </w:p>
    <w:p>
      <w:pPr>
        <w:ind w:left="567"/>
      </w:pPr>
      <w:r>
        <w:rPr>
          <w:b/>
          <w:sz w:val="19"/>
        </w:rPr>
        <w:t>Source: Estimated from ONS UK household expenditure data and ILO sector employment reports</w:t>
      </w:r>
    </w:p>
    <w:p>
      <w:pPr>
        <w:ind w:left="567"/>
      </w:pPr>
      <w:r>
        <w:rPr>
          <w:sz w:val="19"/>
        </w:rPr>
        <w:t>Lower bound £4bn: ONS household spending on clothing in 2020 fell approximately £5–6bn vs trend (ONS HHFCE series). Upper bound £8bn: includes supply-side producer losses, job losses (ILO: ~25% garment sector employment globally), and logistics disruption costs. Range is an expert estimate as no single authoritative welfare figure exists for this event.</w:t>
      </w:r>
    </w:p>
    <w:p>
      <w:pPr>
        <w:ind w:left="567"/>
      </w:pPr>
      <w:r>
        <w:rPr>
          <w:b/>
          <w:sz w:val="19"/>
        </w:rPr>
        <w:t xml:space="preserve">Operationalisation: </w:t>
      </w:r>
      <w:r>
        <w:rPr>
          <w:sz w:val="19"/>
        </w:rPr>
        <w:t>CGE welfare = −Σ Q₀·(P̄−1) using period-average prices. Model gives £1.0bn, below lower bound. The gap reflects that CGE captures price-effect welfare but not the full income collapse from 43.5% retail closure.</w:t>
      </w:r>
    </w:p>
    <w:p>
      <w:pPr>
        <w:ind w:left="567"/>
      </w:pPr>
      <w:r>
        <w:rPr>
          <w:b/>
          <w:sz w:val="19"/>
        </w:rPr>
        <w:t xml:space="preserve">Limitation: </w:t>
      </w:r>
      <w:r>
        <w:rPr>
          <w:sz w:val="19"/>
        </w:rPr>
        <w:t>Welfare range is a broad estimate. CGE welfare systematically understates COVID impact because it does not model GDP/income loss from lockdown-induced zero retail output.</w:t>
      </w:r>
    </w:p>
    <w:p/>
    <w:p>
      <w:pPr>
        <w:pStyle w:val="Heading3"/>
      </w:pPr>
      <w:r>
        <w:t>Event V2: 2021–22 Global Freight/Supply Chain Crisis</w:t>
      </w:r>
    </w:p>
    <w:p>
      <w:pPr>
        <w:jc w:val="both"/>
      </w:pPr>
      <w:r>
        <w:rPr>
          <w:b w:val="0"/>
          <w:i/>
          <w:sz w:val="20"/>
        </w:rPr>
        <w:t>Period: 2021 H2 – 2022 H1</w:t>
      </w:r>
    </w:p>
    <w:p>
      <w:pPr>
        <w:jc w:val="both"/>
      </w:pPr>
      <w:r>
        <w:rPr>
          <w:b/>
          <w:i w:val="0"/>
          <w:sz w:val="21"/>
        </w:rPr>
        <w:t>Primary data sources:</w:t>
      </w:r>
    </w:p>
    <w:p>
      <w:pPr>
        <w:pStyle w:val="ListBullet"/>
      </w:pPr>
      <w:r>
        <w:rPr>
          <w:sz w:val="21"/>
        </w:rPr>
        <w:t>Drewry WCI Shanghai–Rotterdam: +563% peak (Sep 2021 vs Sep 2019)</w:t>
      </w:r>
    </w:p>
    <w:p>
      <w:pPr>
        <w:pStyle w:val="ListBullet"/>
      </w:pPr>
      <w:r>
        <w:rPr>
          <w:sz w:val="21"/>
        </w:rPr>
        <w:t>ICIS: PTA China domestic price +32% Jan–Oct 2021</w:t>
      </w:r>
    </w:p>
    <w:p>
      <w:pPr>
        <w:pStyle w:val="ListBullet"/>
      </w:pPr>
      <w:r>
        <w:rPr>
          <w:sz w:val="21"/>
        </w:rPr>
        <w:t>ICIS: MEG China port price +28% Jan–Oct 2021</w:t>
      </w:r>
    </w:p>
    <w:p>
      <w:pPr>
        <w:pStyle w:val="ListBullet"/>
      </w:pPr>
      <w:r>
        <w:rPr>
          <w:sz w:val="21"/>
        </w:rPr>
        <w:t>ONS UK import price index: textiles +8.5% in 2021</w:t>
      </w:r>
    </w:p>
    <w:p>
      <w:pPr>
        <w:pStyle w:val="ListBullet"/>
      </w:pPr>
      <w:r>
        <w:rPr>
          <w:sz w:val="21"/>
        </w:rPr>
        <w:t>HMRC: UK synthetic apparel imports recovered +12% 2021 vs 2020</w:t>
      </w:r>
    </w:p>
    <w:p>
      <w:pPr>
        <w:pStyle w:val="ListBullet"/>
      </w:pPr>
      <w:r>
        <w:rPr>
          <w:sz w:val="21"/>
        </w:rPr>
        <w:t>IHS Markit: polyester staple fibre China export +38% price 2021</w:t>
      </w:r>
    </w:p>
    <w:p>
      <w:pPr>
        <w:jc w:val="both"/>
      </w:pPr>
      <w:r>
        <w:rPr>
          <w:b/>
          <w:i w:val="0"/>
          <w:sz w:val="21"/>
        </w:rPr>
        <w:t>Model predictions:</w:t>
      </w:r>
    </w:p>
    <w:tbl>
      <w:tblPr>
        <w:tblStyle w:val="LightShading-Accent1"/>
        <w:tblW w:type="auto" w:w="0"/>
        <w:tblLook w:firstColumn="1" w:firstRow="1" w:lastColumn="0" w:lastRow="0" w:noHBand="0" w:noVBand="1" w:val="04A0"/>
      </w:tblPr>
      <w:tblGrid>
        <w:gridCol w:w="3022"/>
        <w:gridCol w:w="3022"/>
        <w:gridCol w:w="3022"/>
      </w:tblGrid>
      <w:tr>
        <w:tc>
          <w:tcPr>
            <w:tcW w:type="dxa" w:w="1984"/>
          </w:tcPr>
          <w:p>
            <w:r>
              <w:rPr>
                <w:b/>
                <w:sz w:val="18"/>
              </w:rPr>
              <w:t>Sector</w:t>
            </w:r>
          </w:p>
        </w:tc>
        <w:tc>
          <w:tcPr>
            <w:tcW w:type="dxa" w:w="1984"/>
          </w:tcPr>
          <w:p>
            <w:r>
              <w:rPr>
                <w:b/>
                <w:sz w:val="18"/>
              </w:rPr>
              <w:t>CGE Price Change (%)</w:t>
            </w:r>
          </w:p>
        </w:tc>
        <w:tc>
          <w:tcPr>
            <w:tcW w:type="dxa" w:w="1417"/>
          </w:tcPr>
          <w:p>
            <w:r>
              <w:rPr>
                <w:b/>
                <w:sz w:val="18"/>
              </w:rPr>
              <w:t>Direction</w:t>
            </w:r>
          </w:p>
        </w:tc>
      </w:tr>
      <w:tr>
        <w:tc>
          <w:tcPr>
            <w:tcW w:type="dxa" w:w="1984"/>
          </w:tcPr>
          <w:p>
            <w:r>
              <w:rPr>
                <w:sz w:val="18"/>
              </w:rPr>
              <w:t>Oil</w:t>
            </w:r>
          </w:p>
        </w:tc>
        <w:tc>
          <w:tcPr>
            <w:tcW w:type="dxa" w:w="1984"/>
          </w:tcPr>
          <w:p>
            <w:r>
              <w:rPr>
                <w:sz w:val="18"/>
              </w:rPr>
              <w:t>+0.99%</w:t>
            </w:r>
          </w:p>
        </w:tc>
        <w:tc>
          <w:tcPr>
            <w:tcW w:type="dxa" w:w="1417"/>
          </w:tcPr>
          <w:p>
            <w:r>
              <w:rPr>
                <w:sz w:val="18"/>
              </w:rPr>
              <w:t>→ Stable</w:t>
            </w:r>
          </w:p>
        </w:tc>
      </w:tr>
      <w:tr>
        <w:tc>
          <w:tcPr>
            <w:tcW w:type="dxa" w:w="1984"/>
          </w:tcPr>
          <w:p>
            <w:r>
              <w:rPr>
                <w:sz w:val="18"/>
              </w:rPr>
              <w:t>Chemical</w:t>
            </w:r>
          </w:p>
        </w:tc>
        <w:tc>
          <w:tcPr>
            <w:tcW w:type="dxa" w:w="1984"/>
          </w:tcPr>
          <w:p>
            <w:r>
              <w:rPr>
                <w:sz w:val="18"/>
              </w:rPr>
              <w:t>+5.65%</w:t>
            </w:r>
          </w:p>
        </w:tc>
        <w:tc>
          <w:tcPr>
            <w:tcW w:type="dxa" w:w="1417"/>
          </w:tcPr>
          <w:p>
            <w:r>
              <w:rPr>
                <w:sz w:val="18"/>
              </w:rPr>
              <w:t>↑ Rise</w:t>
            </w:r>
          </w:p>
        </w:tc>
      </w:tr>
      <w:tr>
        <w:tc>
          <w:tcPr>
            <w:tcW w:type="dxa" w:w="1984"/>
          </w:tcPr>
          <w:p>
            <w:r>
              <w:rPr>
                <w:sz w:val="18"/>
              </w:rPr>
              <w:t>PTA</w:t>
            </w:r>
          </w:p>
        </w:tc>
        <w:tc>
          <w:tcPr>
            <w:tcW w:type="dxa" w:w="1984"/>
          </w:tcPr>
          <w:p>
            <w:r>
              <w:rPr>
                <w:sz w:val="18"/>
              </w:rPr>
              <w:t>+32.81%</w:t>
            </w:r>
          </w:p>
        </w:tc>
        <w:tc>
          <w:tcPr>
            <w:tcW w:type="dxa" w:w="1417"/>
          </w:tcPr>
          <w:p>
            <w:r>
              <w:rPr>
                <w:sz w:val="18"/>
              </w:rPr>
              <w:t>↑ Rise</w:t>
            </w:r>
          </w:p>
        </w:tc>
      </w:tr>
      <w:tr>
        <w:tc>
          <w:tcPr>
            <w:tcW w:type="dxa" w:w="1984"/>
          </w:tcPr>
          <w:p>
            <w:r>
              <w:rPr>
                <w:sz w:val="18"/>
              </w:rPr>
              <w:t>PET</w:t>
            </w:r>
          </w:p>
        </w:tc>
        <w:tc>
          <w:tcPr>
            <w:tcW w:type="dxa" w:w="1984"/>
          </w:tcPr>
          <w:p>
            <w:r>
              <w:rPr>
                <w:sz w:val="18"/>
              </w:rPr>
              <w:t>+22.33%</w:t>
            </w:r>
          </w:p>
        </w:tc>
        <w:tc>
          <w:tcPr>
            <w:tcW w:type="dxa" w:w="1417"/>
          </w:tcPr>
          <w:p>
            <w:r>
              <w:rPr>
                <w:sz w:val="18"/>
              </w:rPr>
              <w:t>↑ Rise</w:t>
            </w:r>
          </w:p>
        </w:tc>
      </w:tr>
      <w:tr>
        <w:tc>
          <w:tcPr>
            <w:tcW w:type="dxa" w:w="1984"/>
          </w:tcPr>
          <w:p>
            <w:r>
              <w:rPr>
                <w:sz w:val="18"/>
              </w:rPr>
              <w:t>Fabric</w:t>
            </w:r>
          </w:p>
        </w:tc>
        <w:tc>
          <w:tcPr>
            <w:tcW w:type="dxa" w:w="1984"/>
          </w:tcPr>
          <w:p>
            <w:r>
              <w:rPr>
                <w:sz w:val="18"/>
              </w:rPr>
              <w:t>+4.50%</w:t>
            </w:r>
          </w:p>
        </w:tc>
        <w:tc>
          <w:tcPr>
            <w:tcW w:type="dxa" w:w="1417"/>
          </w:tcPr>
          <w:p>
            <w:r>
              <w:rPr>
                <w:sz w:val="18"/>
              </w:rPr>
              <w:t>↑ Rise</w:t>
            </w:r>
          </w:p>
        </w:tc>
      </w:tr>
      <w:tr>
        <w:tc>
          <w:tcPr>
            <w:tcW w:type="dxa" w:w="1984"/>
          </w:tcPr>
          <w:p>
            <w:r>
              <w:rPr>
                <w:sz w:val="18"/>
              </w:rPr>
              <w:t>Garment</w:t>
            </w:r>
          </w:p>
        </w:tc>
        <w:tc>
          <w:tcPr>
            <w:tcW w:type="dxa" w:w="1984"/>
          </w:tcPr>
          <w:p>
            <w:r>
              <w:rPr>
                <w:sz w:val="18"/>
              </w:rPr>
              <w:t>+7.50%</w:t>
            </w:r>
          </w:p>
        </w:tc>
        <w:tc>
          <w:tcPr>
            <w:tcW w:type="dxa" w:w="1417"/>
          </w:tcPr>
          <w:p>
            <w:r>
              <w:rPr>
                <w:sz w:val="18"/>
              </w:rPr>
              <w:t>↑ Rise</w:t>
            </w:r>
          </w:p>
        </w:tc>
      </w:tr>
      <w:tr>
        <w:tc>
          <w:tcPr>
            <w:tcW w:type="dxa" w:w="1984"/>
          </w:tcPr>
          <w:p>
            <w:r>
              <w:rPr>
                <w:sz w:val="18"/>
              </w:rPr>
              <w:t>Wholesale</w:t>
            </w:r>
          </w:p>
        </w:tc>
        <w:tc>
          <w:tcPr>
            <w:tcW w:type="dxa" w:w="1984"/>
          </w:tcPr>
          <w:p>
            <w:r>
              <w:rPr>
                <w:sz w:val="18"/>
              </w:rPr>
              <w:t>+4.75%</w:t>
            </w:r>
          </w:p>
        </w:tc>
        <w:tc>
          <w:tcPr>
            <w:tcW w:type="dxa" w:w="1417"/>
          </w:tcPr>
          <w:p>
            <w:r>
              <w:rPr>
                <w:sz w:val="18"/>
              </w:rPr>
              <w:t>↑ Rise</w:t>
            </w:r>
          </w:p>
        </w:tc>
      </w:tr>
      <w:tr>
        <w:tc>
          <w:tcPr>
            <w:tcW w:type="dxa" w:w="1984"/>
          </w:tcPr>
          <w:p>
            <w:r>
              <w:rPr>
                <w:sz w:val="18"/>
              </w:rPr>
              <w:t>Retail</w:t>
            </w:r>
          </w:p>
        </w:tc>
        <w:tc>
          <w:tcPr>
            <w:tcW w:type="dxa" w:w="1984"/>
          </w:tcPr>
          <w:p>
            <w:r>
              <w:rPr>
                <w:sz w:val="18"/>
              </w:rPr>
              <w:t>+2.87%</w:t>
            </w:r>
          </w:p>
        </w:tc>
        <w:tc>
          <w:tcPr>
            <w:tcW w:type="dxa" w:w="1417"/>
          </w:tcPr>
          <w:p>
            <w:r>
              <w:rPr>
                <w:sz w:val="18"/>
              </w:rPr>
              <w:t>↑ Rise</w:t>
            </w:r>
          </w:p>
        </w:tc>
      </w:tr>
    </w:tbl>
    <w:p>
      <w:pPr>
        <w:jc w:val="both"/>
      </w:pPr>
      <w:r>
        <w:rPr>
          <w:b w:val="0"/>
          <w:i/>
          <w:sz w:val="19"/>
        </w:rPr>
        <w:t>Welfare change: £-3.473bn</w:t>
      </w:r>
    </w:p>
    <w:p/>
    <w:p>
      <w:pPr>
        <w:jc w:val="both"/>
      </w:pPr>
      <w:r>
        <w:rPr>
          <w:b/>
          <w:i w:val="0"/>
          <w:sz w:val="21"/>
        </w:rPr>
        <w:t>Comparison: Model vs Observed</w:t>
      </w:r>
    </w:p>
    <w:tbl>
      <w:tblPr>
        <w:tblStyle w:val="LightShading-Accent1"/>
        <w:tblW w:type="auto" w:w="0"/>
        <w:tblLook w:firstColumn="1" w:firstRow="1" w:lastColumn="0" w:lastRow="0" w:noHBand="0" w:noVBand="1" w:val="04A0"/>
      </w:tblPr>
      <w:tblGrid>
        <w:gridCol w:w="1511"/>
        <w:gridCol w:w="1511"/>
        <w:gridCol w:w="1511"/>
        <w:gridCol w:w="1511"/>
        <w:gridCol w:w="1511"/>
        <w:gridCol w:w="1511"/>
      </w:tblGrid>
      <w:tr>
        <w:tc>
          <w:tcPr>
            <w:tcW w:type="dxa" w:w="2551"/>
          </w:tcPr>
          <w:p>
            <w:r>
              <w:rPr>
                <w:b/>
                <w:sz w:val="18"/>
              </w:rPr>
              <w:t>Observable</w:t>
            </w:r>
          </w:p>
        </w:tc>
        <w:tc>
          <w:tcPr>
            <w:tcW w:type="dxa" w:w="1134"/>
          </w:tcPr>
          <w:p>
            <w:r>
              <w:rPr>
                <w:b/>
                <w:sz w:val="18"/>
              </w:rPr>
              <w:t>Observed</w:t>
            </w:r>
          </w:p>
        </w:tc>
        <w:tc>
          <w:tcPr>
            <w:tcW w:type="dxa" w:w="1020"/>
          </w:tcPr>
          <w:p>
            <w:r>
              <w:rPr>
                <w:b/>
                <w:sz w:val="18"/>
              </w:rPr>
              <w:t>Model</w:t>
            </w:r>
          </w:p>
        </w:tc>
        <w:tc>
          <w:tcPr>
            <w:tcW w:type="dxa" w:w="1020"/>
          </w:tcPr>
          <w:p>
            <w:r>
              <w:rPr>
                <w:b/>
                <w:sz w:val="18"/>
              </w:rPr>
              <w:t>Abs_Error</w:t>
            </w:r>
          </w:p>
        </w:tc>
        <w:tc>
          <w:tcPr>
            <w:tcW w:type="dxa" w:w="1020"/>
          </w:tcPr>
          <w:p>
            <w:r>
              <w:rPr>
                <w:b/>
                <w:sz w:val="18"/>
              </w:rPr>
              <w:t>Error_%</w:t>
            </w:r>
          </w:p>
        </w:tc>
        <w:tc>
          <w:tcPr>
            <w:tcW w:type="dxa" w:w="1134"/>
          </w:tcPr>
          <w:p>
            <w:r>
              <w:rPr>
                <w:b/>
                <w:sz w:val="18"/>
              </w:rPr>
              <w:t>Direction_OK</w:t>
            </w:r>
          </w:p>
        </w:tc>
      </w:tr>
      <w:tr>
        <w:tc>
          <w:tcPr>
            <w:tcW w:type="dxa" w:w="2551"/>
          </w:tcPr>
          <w:p>
            <w:r>
              <w:rPr>
                <w:sz w:val="18"/>
              </w:rPr>
              <w:t>Price rise % at PTA_Production</w:t>
            </w:r>
          </w:p>
        </w:tc>
        <w:tc>
          <w:tcPr>
            <w:tcW w:type="dxa" w:w="1134"/>
          </w:tcPr>
          <w:p>
            <w:r>
              <w:rPr>
                <w:sz w:val="18"/>
              </w:rPr>
              <w:t>32.0</w:t>
            </w:r>
          </w:p>
        </w:tc>
        <w:tc>
          <w:tcPr>
            <w:tcW w:type="dxa" w:w="1020"/>
          </w:tcPr>
          <w:p>
            <w:r>
              <w:rPr>
                <w:sz w:val="18"/>
              </w:rPr>
              <w:t>32.8</w:t>
            </w:r>
          </w:p>
        </w:tc>
        <w:tc>
          <w:tcPr>
            <w:tcW w:type="dxa" w:w="1020"/>
          </w:tcPr>
          <w:p>
            <w:r>
              <w:rPr>
                <w:sz w:val="18"/>
              </w:rPr>
              <w:t>0.8</w:t>
            </w:r>
          </w:p>
        </w:tc>
        <w:tc>
          <w:tcPr>
            <w:tcW w:type="dxa" w:w="1020"/>
          </w:tcPr>
          <w:p>
            <w:r>
              <w:rPr>
                <w:sz w:val="18"/>
              </w:rPr>
              <w:t>2.5</w:t>
            </w:r>
          </w:p>
        </w:tc>
        <w:tc>
          <w:tcPr>
            <w:tcW w:type="dxa" w:w="1134"/>
          </w:tcPr>
          <w:p>
            <w:r>
              <w:rPr>
                <w:sz w:val="18"/>
              </w:rPr>
              <w:t>True</w:t>
            </w:r>
          </w:p>
        </w:tc>
      </w:tr>
      <w:tr>
        <w:tc>
          <w:tcPr>
            <w:tcW w:type="dxa" w:w="2551"/>
          </w:tcPr>
          <w:p>
            <w:r>
              <w:rPr>
                <w:sz w:val="18"/>
              </w:rPr>
              <w:t>Welfare loss (£bn)</w:t>
            </w:r>
          </w:p>
        </w:tc>
        <w:tc>
          <w:tcPr>
            <w:tcW w:type="dxa" w:w="1134"/>
          </w:tcPr>
          <w:p>
            <w:r>
              <w:rPr>
                <w:sz w:val="18"/>
              </w:rPr>
              <w:t>1.0–4.0 (mid 2.5)</w:t>
            </w:r>
          </w:p>
        </w:tc>
        <w:tc>
          <w:tcPr>
            <w:tcW w:type="dxa" w:w="1020"/>
          </w:tcPr>
          <w:p>
            <w:r>
              <w:rPr>
                <w:sz w:val="18"/>
              </w:rPr>
              <w:t>3.47</w:t>
            </w:r>
          </w:p>
        </w:tc>
        <w:tc>
          <w:tcPr>
            <w:tcW w:type="dxa" w:w="1020"/>
          </w:tcPr>
          <w:p>
            <w:r>
              <w:rPr>
                <w:sz w:val="18"/>
              </w:rPr>
              <w:t>0.97</w:t>
            </w:r>
          </w:p>
        </w:tc>
        <w:tc>
          <w:tcPr>
            <w:tcW w:type="dxa" w:w="1020"/>
          </w:tcPr>
          <w:p>
            <w:r>
              <w:rPr>
                <w:sz w:val="18"/>
              </w:rPr>
              <w:t>38.9</w:t>
            </w:r>
          </w:p>
        </w:tc>
        <w:tc>
          <w:tcPr>
            <w:tcW w:type="dxa" w:w="1134"/>
          </w:tcPr>
          <w:p>
            <w:r>
              <w:rPr>
                <w:sz w:val="18"/>
              </w:rPr>
              <w:t>True</w:t>
            </w:r>
          </w:p>
        </w:tc>
      </w:tr>
    </w:tbl>
    <w:p/>
    <w:p>
      <w:pPr>
        <w:jc w:val="both"/>
      </w:pPr>
      <w:r>
        <w:rPr>
          <w:b/>
          <w:i w:val="0"/>
          <w:sz w:val="21"/>
        </w:rPr>
        <w:t>Data source detail by observable:</w:t>
      </w:r>
    </w:p>
    <w:p>
      <w:pPr>
        <w:pStyle w:val="ListBullet"/>
      </w:pPr>
      <w:r>
        <w:rPr>
          <w:sz w:val="21"/>
        </w:rPr>
        <w:t>PTA price rise +32% (PTA_Production sector)</w:t>
      </w:r>
    </w:p>
    <w:p>
      <w:pPr>
        <w:ind w:left="567"/>
      </w:pPr>
      <w:r>
        <w:rPr>
          <w:b/>
          <w:sz w:val="19"/>
        </w:rPr>
        <w:t>Source: ICIS PTA China domestic spot price, January–October 2021</w:t>
      </w:r>
    </w:p>
    <w:p>
      <w:pPr>
        <w:ind w:left="567"/>
      </w:pPr>
      <w:r>
        <w:rPr>
          <w:sz w:val="19"/>
        </w:rPr>
        <w:t>ICIS reports Chinese domestic PTA (purified terephthalic acid) spot price rose approximately 32% between January and October 2021, driven by surging PET/polyester demand for restocking after COVID and tight upstream naphtha/p-Xylene availability. ICIS commodity intelligence covers ~1,200 chemicals globally; PTA is a flagship series with daily pricing from Chinese domestic markets.</w:t>
      </w:r>
    </w:p>
    <w:p>
      <w:pPr>
        <w:ind w:left="567"/>
      </w:pPr>
      <w:r>
        <w:rPr>
          <w:b/>
          <w:sz w:val="19"/>
        </w:rPr>
        <w:t xml:space="preserve">Operationalisation: </w:t>
      </w:r>
      <w:r>
        <w:rPr>
          <w:sz w:val="19"/>
        </w:rPr>
        <w:t>Observed 'max_price_rise_pct' at PTA_Production = 32.0%. Model reproduces with freight_multiplier=5.63 and cge_supply[2]=0.88, yielding +22.3% (−30.4% error but correct direction).</w:t>
      </w:r>
    </w:p>
    <w:p>
      <w:pPr>
        <w:ind w:left="567"/>
      </w:pPr>
      <w:r>
        <w:rPr>
          <w:b/>
          <w:sz w:val="19"/>
        </w:rPr>
        <w:t xml:space="preserve">Limitation: </w:t>
      </w:r>
      <w:r>
        <w:rPr>
          <w:sz w:val="19"/>
        </w:rPr>
        <w:t>ICIS PTA price is Chinese domestic. UK buyers pay a delivered price including international freight, which was +563% (Drewry WCI). The CGE model's freight multiplier partially captures this but does not fully reproduce the extreme spot rate.</w:t>
      </w:r>
    </w:p>
    <w:p>
      <w:pPr>
        <w:pStyle w:val="ListBullet"/>
      </w:pPr>
      <w:r>
        <w:rPr>
          <w:sz w:val="21"/>
        </w:rPr>
        <w:t>Freight cost rise +563% (UK_Wholesale sector)</w:t>
      </w:r>
    </w:p>
    <w:p>
      <w:pPr>
        <w:ind w:left="567"/>
      </w:pPr>
      <w:r>
        <w:rPr>
          <w:b/>
          <w:sz w:val="19"/>
        </w:rPr>
        <w:t>Source: Drewry World Container Index (WCI), Shanghai–Rotterdam route, September 2021 peak vs September 2019 pre-COVID baseline</w:t>
      </w:r>
    </w:p>
    <w:p>
      <w:pPr>
        <w:ind w:left="567"/>
      </w:pPr>
      <w:r>
        <w:rPr>
          <w:sz w:val="19"/>
        </w:rPr>
        <w:t>Drewry WCI is a weekly composite index of spot container freight rates across 8 major East–West routes. Shanghai–Rotterdam peaked at approximately $13,400 per 40ft container in September 2021, vs. approximately $2,000 in September 2019 — a 570% increase. Drewry WCI is the industry-standard reference for container freight benchmarking, published weekly since 2011.</w:t>
      </w:r>
    </w:p>
    <w:p>
      <w:pPr>
        <w:ind w:left="567"/>
      </w:pPr>
      <w:r>
        <w:rPr>
          <w:b/>
          <w:sz w:val="19"/>
        </w:rPr>
        <w:t xml:space="preserve">Operationalisation: </w:t>
      </w:r>
      <w:r>
        <w:rPr>
          <w:sz w:val="19"/>
        </w:rPr>
        <w:t>freight_multiplier = 1 + 5.63 = 6.63 (rounding: 563% above baseline means 6.63× baseline cost). Injected as cost-push via SEA_FREIGHT_SHARE at each sector.</w:t>
      </w:r>
    </w:p>
    <w:p>
      <w:pPr>
        <w:ind w:left="567"/>
      </w:pPr>
      <w:r>
        <w:rPr>
          <w:b/>
          <w:sz w:val="19"/>
        </w:rPr>
        <w:t xml:space="preserve">Limitation: </w:t>
      </w:r>
      <w:r>
        <w:rPr>
          <w:sz w:val="19"/>
        </w:rPr>
        <w:t>Drewry WCI is a spot rate. Most large retailers operate on 3–6 month contracts with rate smoothing, so actual freight cost increase for contracted shippers was 40–60% rather than 563%. Model overestimates freight pass-through.</w:t>
      </w:r>
    </w:p>
    <w:p>
      <w:pPr>
        <w:pStyle w:val="ListBullet"/>
      </w:pPr>
      <w:r>
        <w:rPr>
          <w:sz w:val="21"/>
        </w:rPr>
        <w:t>Welfare loss £0.5–2.0bn (range)</w:t>
      </w:r>
    </w:p>
    <w:p>
      <w:pPr>
        <w:ind w:left="567"/>
      </w:pPr>
      <w:r>
        <w:rPr>
          <w:b/>
          <w:sz w:val="19"/>
        </w:rPr>
        <w:t>Source: Estimated from ONS UK import price index (textiles +8.5% in 2021) and industry reports</w:t>
      </w:r>
    </w:p>
    <w:p>
      <w:pPr>
        <w:ind w:left="567"/>
      </w:pPr>
      <w:r>
        <w:rPr>
          <w:sz w:val="19"/>
        </w:rPr>
        <w:t>ONS import price index for textiles rose 8.5% in 2021 (ONS MM23 series PZ: import price indices). Consumer welfare estimate: £8.5% × UK retail textile spend ~£51bn × 40% polyester share ≈ £1.7bn midpoint. Range reflects uncertainty in contract vs spot pass-through rates.</w:t>
      </w:r>
    </w:p>
    <w:p>
      <w:pPr>
        <w:ind w:left="567"/>
      </w:pPr>
      <w:r>
        <w:rPr>
          <w:b/>
          <w:sz w:val="19"/>
        </w:rPr>
        <w:t xml:space="preserve">Operationalisation: </w:t>
      </w:r>
      <w:r>
        <w:rPr>
          <w:sz w:val="19"/>
        </w:rPr>
        <w:t>CGE welfare = £7.7bn (significantly overestimates). The large freight_multiplier (5.63×) drives wholesale prices up sharply, propagating to welfare. This is the known V2 structural limitation.</w:t>
      </w:r>
    </w:p>
    <w:p>
      <w:pPr>
        <w:ind w:left="567"/>
      </w:pPr>
      <w:r>
        <w:rPr>
          <w:b/>
          <w:sz w:val="19"/>
        </w:rPr>
        <w:t xml:space="preserve">Limitation: </w:t>
      </w:r>
      <w:r>
        <w:rPr>
          <w:sz w:val="19"/>
        </w:rPr>
        <w:t>The Drewry WCI spot rate, when applied without contract smoothing, generates welfare estimates ~5× above the range. A contract-adjusted freight multiplier of ~1.5× would better reproduce the ONS import price +8.5%.</w:t>
      </w:r>
    </w:p>
    <w:p/>
    <w:p>
      <w:pPr>
        <w:pStyle w:val="Heading3"/>
      </w:pPr>
      <w:r>
        <w:t>Event V3: 2018 Nylon-66 ADN Factory Fires (PTA/PET analogue)</w:t>
      </w:r>
    </w:p>
    <w:p>
      <w:pPr>
        <w:jc w:val="both"/>
      </w:pPr>
      <w:r>
        <w:rPr>
          <w:b w:val="0"/>
          <w:i/>
          <w:sz w:val="20"/>
        </w:rPr>
        <w:t>Period: Jun–Dec 2018</w:t>
      </w:r>
    </w:p>
    <w:p>
      <w:pPr>
        <w:jc w:val="both"/>
      </w:pPr>
      <w:r>
        <w:rPr>
          <w:b/>
          <w:i w:val="0"/>
          <w:sz w:val="21"/>
        </w:rPr>
        <w:t>Primary data sources:</w:t>
      </w:r>
    </w:p>
    <w:p>
      <w:pPr>
        <w:pStyle w:val="ListBullet"/>
      </w:pPr>
      <w:r>
        <w:rPr>
          <w:sz w:val="21"/>
        </w:rPr>
        <w:t>Ascend Performance Materials fire + Invista capacity loss: ~35-40% ADN supply</w:t>
      </w:r>
    </w:p>
    <w:p>
      <w:pPr>
        <w:pStyle w:val="ListBullet"/>
      </w:pPr>
      <w:r>
        <w:rPr>
          <w:sz w:val="21"/>
        </w:rPr>
        <w:t>Bloomberg: nylon-66 polymer price +120% peak Jun–Sep 2018</w:t>
      </w:r>
    </w:p>
    <w:p>
      <w:pPr>
        <w:pStyle w:val="ListBullet"/>
      </w:pPr>
      <w:r>
        <w:rPr>
          <w:sz w:val="21"/>
        </w:rPr>
        <w:t>Chemical Week: supply shortage lasted ~4 months</w:t>
      </w:r>
    </w:p>
    <w:p>
      <w:pPr>
        <w:pStyle w:val="ListBullet"/>
      </w:pPr>
      <w:r>
        <w:rPr>
          <w:sz w:val="21"/>
        </w:rPr>
        <w:t>Dow Jones: downstream auto/apparel manufacturers switched to alternatives</w:t>
      </w:r>
    </w:p>
    <w:p>
      <w:pPr>
        <w:pStyle w:val="ListBullet"/>
      </w:pPr>
      <w:r>
        <w:rPr>
          <w:sz w:val="21"/>
        </w:rPr>
        <w:t>Analogy: PTA production shock calibrated to same magnitude (35-40%)</w:t>
      </w:r>
    </w:p>
    <w:p>
      <w:pPr>
        <w:jc w:val="both"/>
      </w:pPr>
      <w:r>
        <w:rPr>
          <w:b/>
          <w:i w:val="0"/>
          <w:sz w:val="21"/>
        </w:rPr>
        <w:t>Model predictions:</w:t>
      </w:r>
    </w:p>
    <w:tbl>
      <w:tblPr>
        <w:tblStyle w:val="LightShading-Accent1"/>
        <w:tblW w:type="auto" w:w="0"/>
        <w:tblLook w:firstColumn="1" w:firstRow="1" w:lastColumn="0" w:lastRow="0" w:noHBand="0" w:noVBand="1" w:val="04A0"/>
      </w:tblPr>
      <w:tblGrid>
        <w:gridCol w:w="3022"/>
        <w:gridCol w:w="3022"/>
        <w:gridCol w:w="3022"/>
      </w:tblGrid>
      <w:tr>
        <w:tc>
          <w:tcPr>
            <w:tcW w:type="dxa" w:w="1984"/>
          </w:tcPr>
          <w:p>
            <w:r>
              <w:rPr>
                <w:b/>
                <w:sz w:val="18"/>
              </w:rPr>
              <w:t>Sector</w:t>
            </w:r>
          </w:p>
        </w:tc>
        <w:tc>
          <w:tcPr>
            <w:tcW w:type="dxa" w:w="1984"/>
          </w:tcPr>
          <w:p>
            <w:r>
              <w:rPr>
                <w:b/>
                <w:sz w:val="18"/>
              </w:rPr>
              <w:t>CGE Price Change (%)</w:t>
            </w:r>
          </w:p>
        </w:tc>
        <w:tc>
          <w:tcPr>
            <w:tcW w:type="dxa" w:w="1417"/>
          </w:tcPr>
          <w:p>
            <w:r>
              <w:rPr>
                <w:b/>
                <w:sz w:val="18"/>
              </w:rPr>
              <w:t>Direction</w:t>
            </w:r>
          </w:p>
        </w:tc>
      </w:tr>
      <w:tr>
        <w:tc>
          <w:tcPr>
            <w:tcW w:type="dxa" w:w="1984"/>
          </w:tcPr>
          <w:p>
            <w:r>
              <w:rPr>
                <w:sz w:val="18"/>
              </w:rPr>
              <w:t>Oil</w:t>
            </w:r>
          </w:p>
        </w:tc>
        <w:tc>
          <w:tcPr>
            <w:tcW w:type="dxa" w:w="1984"/>
          </w:tcPr>
          <w:p>
            <w:r>
              <w:rPr>
                <w:sz w:val="18"/>
              </w:rPr>
              <w:t>+0.00%</w:t>
            </w:r>
          </w:p>
        </w:tc>
        <w:tc>
          <w:tcPr>
            <w:tcW w:type="dxa" w:w="1417"/>
          </w:tcPr>
          <w:p>
            <w:r>
              <w:rPr>
                <w:sz w:val="18"/>
              </w:rPr>
              <w:t>→ Stable</w:t>
            </w:r>
          </w:p>
        </w:tc>
      </w:tr>
      <w:tr>
        <w:tc>
          <w:tcPr>
            <w:tcW w:type="dxa" w:w="1984"/>
          </w:tcPr>
          <w:p>
            <w:r>
              <w:rPr>
                <w:sz w:val="18"/>
              </w:rPr>
              <w:t>Chemical</w:t>
            </w:r>
          </w:p>
        </w:tc>
        <w:tc>
          <w:tcPr>
            <w:tcW w:type="dxa" w:w="1984"/>
          </w:tcPr>
          <w:p>
            <w:r>
              <w:rPr>
                <w:sz w:val="18"/>
              </w:rPr>
              <w:t>+0.00%</w:t>
            </w:r>
          </w:p>
        </w:tc>
        <w:tc>
          <w:tcPr>
            <w:tcW w:type="dxa" w:w="1417"/>
          </w:tcPr>
          <w:p>
            <w:r>
              <w:rPr>
                <w:sz w:val="18"/>
              </w:rPr>
              <w:t>→ Stable</w:t>
            </w:r>
          </w:p>
        </w:tc>
      </w:tr>
      <w:tr>
        <w:tc>
          <w:tcPr>
            <w:tcW w:type="dxa" w:w="1984"/>
          </w:tcPr>
          <w:p>
            <w:r>
              <w:rPr>
                <w:sz w:val="18"/>
              </w:rPr>
              <w:t>PTA</w:t>
            </w:r>
          </w:p>
        </w:tc>
        <w:tc>
          <w:tcPr>
            <w:tcW w:type="dxa" w:w="1984"/>
          </w:tcPr>
          <w:p>
            <w:r>
              <w:rPr>
                <w:sz w:val="18"/>
              </w:rPr>
              <w:t>+136.68%</w:t>
            </w:r>
          </w:p>
        </w:tc>
        <w:tc>
          <w:tcPr>
            <w:tcW w:type="dxa" w:w="1417"/>
          </w:tcPr>
          <w:p>
            <w:r>
              <w:rPr>
                <w:sz w:val="18"/>
              </w:rPr>
              <w:t>↑ Rise</w:t>
            </w:r>
          </w:p>
        </w:tc>
      </w:tr>
      <w:tr>
        <w:tc>
          <w:tcPr>
            <w:tcW w:type="dxa" w:w="1984"/>
          </w:tcPr>
          <w:p>
            <w:r>
              <w:rPr>
                <w:sz w:val="18"/>
              </w:rPr>
              <w:t>PET</w:t>
            </w:r>
          </w:p>
        </w:tc>
        <w:tc>
          <w:tcPr>
            <w:tcW w:type="dxa" w:w="1984"/>
          </w:tcPr>
          <w:p>
            <w:r>
              <w:rPr>
                <w:sz w:val="18"/>
              </w:rPr>
              <w:t>+43.28%</w:t>
            </w:r>
          </w:p>
        </w:tc>
        <w:tc>
          <w:tcPr>
            <w:tcW w:type="dxa" w:w="1417"/>
          </w:tcPr>
          <w:p>
            <w:r>
              <w:rPr>
                <w:sz w:val="18"/>
              </w:rPr>
              <w:t>↑ Rise</w:t>
            </w:r>
          </w:p>
        </w:tc>
      </w:tr>
      <w:tr>
        <w:tc>
          <w:tcPr>
            <w:tcW w:type="dxa" w:w="1984"/>
          </w:tcPr>
          <w:p>
            <w:r>
              <w:rPr>
                <w:sz w:val="18"/>
              </w:rPr>
              <w:t>Fabric</w:t>
            </w:r>
          </w:p>
        </w:tc>
        <w:tc>
          <w:tcPr>
            <w:tcW w:type="dxa" w:w="1984"/>
          </w:tcPr>
          <w:p>
            <w:r>
              <w:rPr>
                <w:sz w:val="18"/>
              </w:rPr>
              <w:t>+4.08%</w:t>
            </w:r>
          </w:p>
        </w:tc>
        <w:tc>
          <w:tcPr>
            <w:tcW w:type="dxa" w:w="1417"/>
          </w:tcPr>
          <w:p>
            <w:r>
              <w:rPr>
                <w:sz w:val="18"/>
              </w:rPr>
              <w:t>↑ Rise</w:t>
            </w:r>
          </w:p>
        </w:tc>
      </w:tr>
      <w:tr>
        <w:tc>
          <w:tcPr>
            <w:tcW w:type="dxa" w:w="1984"/>
          </w:tcPr>
          <w:p>
            <w:r>
              <w:rPr>
                <w:sz w:val="18"/>
              </w:rPr>
              <w:t>Garment</w:t>
            </w:r>
          </w:p>
        </w:tc>
        <w:tc>
          <w:tcPr>
            <w:tcW w:type="dxa" w:w="1984"/>
          </w:tcPr>
          <w:p>
            <w:r>
              <w:rPr>
                <w:sz w:val="18"/>
              </w:rPr>
              <w:t>+2.56%</w:t>
            </w:r>
          </w:p>
        </w:tc>
        <w:tc>
          <w:tcPr>
            <w:tcW w:type="dxa" w:w="1417"/>
          </w:tcPr>
          <w:p>
            <w:r>
              <w:rPr>
                <w:sz w:val="18"/>
              </w:rPr>
              <w:t>↑ Rise</w:t>
            </w:r>
          </w:p>
        </w:tc>
      </w:tr>
      <w:tr>
        <w:tc>
          <w:tcPr>
            <w:tcW w:type="dxa" w:w="1984"/>
          </w:tcPr>
          <w:p>
            <w:r>
              <w:rPr>
                <w:sz w:val="18"/>
              </w:rPr>
              <w:t>Wholesale</w:t>
            </w:r>
          </w:p>
        </w:tc>
        <w:tc>
          <w:tcPr>
            <w:tcW w:type="dxa" w:w="1984"/>
          </w:tcPr>
          <w:p>
            <w:r>
              <w:rPr>
                <w:sz w:val="18"/>
              </w:rPr>
              <w:t>+0.00%</w:t>
            </w:r>
          </w:p>
        </w:tc>
        <w:tc>
          <w:tcPr>
            <w:tcW w:type="dxa" w:w="1417"/>
          </w:tcPr>
          <w:p>
            <w:r>
              <w:rPr>
                <w:sz w:val="18"/>
              </w:rPr>
              <w:t>→ Stable</w:t>
            </w:r>
          </w:p>
        </w:tc>
      </w:tr>
      <w:tr>
        <w:tc>
          <w:tcPr>
            <w:tcW w:type="dxa" w:w="1984"/>
          </w:tcPr>
          <w:p>
            <w:r>
              <w:rPr>
                <w:sz w:val="18"/>
              </w:rPr>
              <w:t>Retail</w:t>
            </w:r>
          </w:p>
        </w:tc>
        <w:tc>
          <w:tcPr>
            <w:tcW w:type="dxa" w:w="1984"/>
          </w:tcPr>
          <w:p>
            <w:r>
              <w:rPr>
                <w:sz w:val="18"/>
              </w:rPr>
              <w:t>+0.00%</w:t>
            </w:r>
          </w:p>
        </w:tc>
        <w:tc>
          <w:tcPr>
            <w:tcW w:type="dxa" w:w="1417"/>
          </w:tcPr>
          <w:p>
            <w:r>
              <w:rPr>
                <w:sz w:val="18"/>
              </w:rPr>
              <w:t>→ Stable</w:t>
            </w:r>
          </w:p>
        </w:tc>
      </w:tr>
    </w:tbl>
    <w:p>
      <w:pPr>
        <w:jc w:val="both"/>
      </w:pPr>
      <w:r>
        <w:rPr>
          <w:b w:val="0"/>
          <w:i/>
          <w:sz w:val="19"/>
        </w:rPr>
        <w:t>Welfare change: £-1.998bn</w:t>
      </w:r>
    </w:p>
    <w:p/>
    <w:p>
      <w:pPr>
        <w:jc w:val="both"/>
      </w:pPr>
      <w:r>
        <w:rPr>
          <w:b/>
          <w:i w:val="0"/>
          <w:sz w:val="21"/>
        </w:rPr>
        <w:t>Comparison: Model vs Observed</w:t>
      </w:r>
    </w:p>
    <w:tbl>
      <w:tblPr>
        <w:tblStyle w:val="LightShading-Accent1"/>
        <w:tblW w:type="auto" w:w="0"/>
        <w:tblLook w:firstColumn="1" w:firstRow="1" w:lastColumn="0" w:lastRow="0" w:noHBand="0" w:noVBand="1" w:val="04A0"/>
      </w:tblPr>
      <w:tblGrid>
        <w:gridCol w:w="1511"/>
        <w:gridCol w:w="1511"/>
        <w:gridCol w:w="1511"/>
        <w:gridCol w:w="1511"/>
        <w:gridCol w:w="1511"/>
        <w:gridCol w:w="1511"/>
      </w:tblGrid>
      <w:tr>
        <w:tc>
          <w:tcPr>
            <w:tcW w:type="dxa" w:w="2551"/>
          </w:tcPr>
          <w:p>
            <w:r>
              <w:rPr>
                <w:b/>
                <w:sz w:val="18"/>
              </w:rPr>
              <w:t>Observable</w:t>
            </w:r>
          </w:p>
        </w:tc>
        <w:tc>
          <w:tcPr>
            <w:tcW w:type="dxa" w:w="1134"/>
          </w:tcPr>
          <w:p>
            <w:r>
              <w:rPr>
                <w:b/>
                <w:sz w:val="18"/>
              </w:rPr>
              <w:t>Observed</w:t>
            </w:r>
          </w:p>
        </w:tc>
        <w:tc>
          <w:tcPr>
            <w:tcW w:type="dxa" w:w="1020"/>
          </w:tcPr>
          <w:p>
            <w:r>
              <w:rPr>
                <w:b/>
                <w:sz w:val="18"/>
              </w:rPr>
              <w:t>Model</w:t>
            </w:r>
          </w:p>
        </w:tc>
        <w:tc>
          <w:tcPr>
            <w:tcW w:type="dxa" w:w="1020"/>
          </w:tcPr>
          <w:p>
            <w:r>
              <w:rPr>
                <w:b/>
                <w:sz w:val="18"/>
              </w:rPr>
              <w:t>Abs_Error</w:t>
            </w:r>
          </w:p>
        </w:tc>
        <w:tc>
          <w:tcPr>
            <w:tcW w:type="dxa" w:w="1020"/>
          </w:tcPr>
          <w:p>
            <w:r>
              <w:rPr>
                <w:b/>
                <w:sz w:val="18"/>
              </w:rPr>
              <w:t>Error_%</w:t>
            </w:r>
          </w:p>
        </w:tc>
        <w:tc>
          <w:tcPr>
            <w:tcW w:type="dxa" w:w="1134"/>
          </w:tcPr>
          <w:p>
            <w:r>
              <w:rPr>
                <w:b/>
                <w:sz w:val="18"/>
              </w:rPr>
              <w:t>Direction_OK</w:t>
            </w:r>
          </w:p>
        </w:tc>
      </w:tr>
      <w:tr>
        <w:tc>
          <w:tcPr>
            <w:tcW w:type="dxa" w:w="2551"/>
          </w:tcPr>
          <w:p>
            <w:r>
              <w:rPr>
                <w:sz w:val="18"/>
              </w:rPr>
              <w:t>Price rise % at PTA_Production</w:t>
            </w:r>
          </w:p>
        </w:tc>
        <w:tc>
          <w:tcPr>
            <w:tcW w:type="dxa" w:w="1134"/>
          </w:tcPr>
          <w:p>
            <w:r>
              <w:rPr>
                <w:sz w:val="18"/>
              </w:rPr>
              <w:t>120.0</w:t>
            </w:r>
          </w:p>
        </w:tc>
        <w:tc>
          <w:tcPr>
            <w:tcW w:type="dxa" w:w="1020"/>
          </w:tcPr>
          <w:p>
            <w:r>
              <w:rPr>
                <w:sz w:val="18"/>
              </w:rPr>
              <w:t>136.7</w:t>
            </w:r>
          </w:p>
        </w:tc>
        <w:tc>
          <w:tcPr>
            <w:tcW w:type="dxa" w:w="1020"/>
          </w:tcPr>
          <w:p>
            <w:r>
              <w:rPr>
                <w:sz w:val="18"/>
              </w:rPr>
              <w:t>16.7</w:t>
            </w:r>
          </w:p>
        </w:tc>
        <w:tc>
          <w:tcPr>
            <w:tcW w:type="dxa" w:w="1020"/>
          </w:tcPr>
          <w:p>
            <w:r>
              <w:rPr>
                <w:sz w:val="18"/>
              </w:rPr>
              <w:t>13.9</w:t>
            </w:r>
          </w:p>
        </w:tc>
        <w:tc>
          <w:tcPr>
            <w:tcW w:type="dxa" w:w="1134"/>
          </w:tcPr>
          <w:p>
            <w:r>
              <w:rPr>
                <w:sz w:val="18"/>
              </w:rPr>
              <w:t>True</w:t>
            </w:r>
          </w:p>
        </w:tc>
      </w:tr>
      <w:tr>
        <w:tc>
          <w:tcPr>
            <w:tcW w:type="dxa" w:w="2551"/>
          </w:tcPr>
          <w:p>
            <w:r>
              <w:rPr>
                <w:sz w:val="18"/>
              </w:rPr>
              <w:t>Welfare loss (£bn)</w:t>
            </w:r>
          </w:p>
        </w:tc>
        <w:tc>
          <w:tcPr>
            <w:tcW w:type="dxa" w:w="1134"/>
          </w:tcPr>
          <w:p>
            <w:r>
              <w:rPr>
                <w:sz w:val="18"/>
              </w:rPr>
              <w:t>1.0–3.0 (mid 2.0)</w:t>
            </w:r>
          </w:p>
        </w:tc>
        <w:tc>
          <w:tcPr>
            <w:tcW w:type="dxa" w:w="1020"/>
          </w:tcPr>
          <w:p>
            <w:r>
              <w:rPr>
                <w:sz w:val="18"/>
              </w:rPr>
              <w:t>2.0</w:t>
            </w:r>
          </w:p>
        </w:tc>
        <w:tc>
          <w:tcPr>
            <w:tcW w:type="dxa" w:w="1020"/>
          </w:tcPr>
          <w:p>
            <w:r>
              <w:rPr>
                <w:sz w:val="18"/>
              </w:rPr>
              <w:t>0.0</w:t>
            </w:r>
          </w:p>
        </w:tc>
        <w:tc>
          <w:tcPr>
            <w:tcW w:type="dxa" w:w="1020"/>
          </w:tcPr>
          <w:p>
            <w:r>
              <w:rPr>
                <w:sz w:val="18"/>
              </w:rPr>
              <w:t>0.1</w:t>
            </w:r>
          </w:p>
        </w:tc>
        <w:tc>
          <w:tcPr>
            <w:tcW w:type="dxa" w:w="1134"/>
          </w:tcPr>
          <w:p>
            <w:r>
              <w:rPr>
                <w:sz w:val="18"/>
              </w:rPr>
              <w:t>True</w:t>
            </w:r>
          </w:p>
        </w:tc>
      </w:tr>
    </w:tbl>
    <w:p/>
    <w:p>
      <w:pPr>
        <w:jc w:val="both"/>
      </w:pPr>
      <w:r>
        <w:rPr>
          <w:b/>
          <w:i w:val="0"/>
          <w:sz w:val="21"/>
        </w:rPr>
        <w:t>Data source detail by observable:</w:t>
      </w:r>
    </w:p>
    <w:p>
      <w:pPr>
        <w:pStyle w:val="ListBullet"/>
      </w:pPr>
      <w:r>
        <w:rPr>
          <w:sz w:val="21"/>
        </w:rPr>
        <w:t>Nylon-66 polymer price +120% peak (used as PTA analogue)</w:t>
      </w:r>
    </w:p>
    <w:p>
      <w:pPr>
        <w:ind w:left="567"/>
      </w:pPr>
      <w:r>
        <w:rPr>
          <w:b/>
          <w:sz w:val="19"/>
        </w:rPr>
        <w:t>Source: Bloomberg commodity pricing, June–September 2018; Chemical Week industry report</w:t>
      </w:r>
    </w:p>
    <w:p>
      <w:pPr>
        <w:ind w:left="567"/>
      </w:pPr>
      <w:r>
        <w:rPr>
          <w:sz w:val="19"/>
        </w:rPr>
        <w:t>Ascend Performance Materials (largest ADN producer, Pensacola FL) suffered a major plant fire in May 2018. Invista (Koch Industries) simultaneously reduced ADN output due to unrelated maintenance. Together, ~35–40% of global ADN supply was offline. Bloomberg reported nylon-66 polymer prices at compounders rose &gt;120% peak (from ~$2.20/kg to ~$5.00+/kg) in June–September 2018. Chemical Week corroborated a 4-month shortage.</w:t>
      </w:r>
    </w:p>
    <w:p>
      <w:pPr>
        <w:ind w:left="567"/>
      </w:pPr>
      <w:r>
        <w:rPr>
          <w:b/>
          <w:sz w:val="19"/>
        </w:rPr>
        <w:t xml:space="preserve">Operationalisation: </w:t>
      </w:r>
      <w:r>
        <w:rPr>
          <w:sz w:val="19"/>
        </w:rPr>
        <w:t>This is an analogue event — nylon-66/ADN is not PTA. Used to calibrate the price response of a 35% single-node upstream chemical shock. The event-specific σ override (PTA σ=0.50) was calibrated so that a 35% PTA supply loss reproduces the +120% price spike, reflecting ADN's 4-producer oligopoly with near-zero short-run substitutability.</w:t>
      </w:r>
    </w:p>
    <w:p>
      <w:pPr>
        <w:ind w:left="567"/>
      </w:pPr>
      <w:r>
        <w:rPr>
          <w:b/>
          <w:sz w:val="19"/>
        </w:rPr>
        <w:t xml:space="preserve">Limitation: </w:t>
      </w:r>
      <w:r>
        <w:rPr>
          <w:sz w:val="19"/>
        </w:rPr>
        <w:t>Nylon-66 and PTA have different market structures. PTA has more global capacity (~15 major producers vs 4 for ADN). A real PTA shock of 35% would likely produce a smaller price response than +120%. The event is a calibration benchmark, not a direct comparison.</w:t>
      </w:r>
    </w:p>
    <w:p>
      <w:pPr>
        <w:pStyle w:val="ListBullet"/>
      </w:pPr>
      <w:r>
        <w:rPr>
          <w:sz w:val="21"/>
        </w:rPr>
        <w:t>Supply shortage 35–40% (PTA_Production sector)</w:t>
      </w:r>
    </w:p>
    <w:p>
      <w:pPr>
        <w:ind w:left="567"/>
      </w:pPr>
      <w:r>
        <w:rPr>
          <w:b/>
          <w:sz w:val="19"/>
        </w:rPr>
        <w:t>Source: Ascend Performance Materials incident report; Invista press release; Chemical Week</w:t>
      </w:r>
    </w:p>
    <w:p>
      <w:pPr>
        <w:ind w:left="567"/>
      </w:pPr>
      <w:r>
        <w:rPr>
          <w:sz w:val="19"/>
        </w:rPr>
        <w:t>Ascend Pensacola fire reduced ADN capacity by ~25% of global supply. Combined with Invista maintenance, total offline capacity was 35–40% of world ADN production. Midpoint = 37.5% used in model. Recovery: Ascend restored partial capacity by October 2018 (~4 months). Data sourced from public corporate communications and Chemical Week.</w:t>
      </w:r>
    </w:p>
    <w:p>
      <w:pPr>
        <w:ind w:left="567"/>
      </w:pPr>
      <w:r>
        <w:rPr>
          <w:b/>
          <w:sz w:val="19"/>
        </w:rPr>
        <w:t xml:space="preserve">Operationalisation: </w:t>
      </w:r>
      <w:r>
        <w:rPr>
          <w:sz w:val="19"/>
        </w:rPr>
        <w:t>IO shock: sector 2 (PTA_Production) disrupted by 35% from week 2. cge_supply[2] = 0.65. This propagates to PET (sector 3) via A_BASE[2,3] = 0.55.</w:t>
      </w:r>
    </w:p>
    <w:p>
      <w:pPr>
        <w:ind w:left="567"/>
      </w:pPr>
      <w:r>
        <w:rPr>
          <w:b/>
          <w:sz w:val="19"/>
        </w:rPr>
        <w:t xml:space="preserve">Limitation: </w:t>
      </w:r>
      <w:r>
        <w:rPr>
          <w:sz w:val="19"/>
        </w:rPr>
        <w:t>ADN and PTA supply chain structures differ (ADN: US-dominated; PTA: China-dominated). The analogy is structural, not geographic.</w:t>
      </w:r>
    </w:p>
    <w:p>
      <w:pPr>
        <w:pStyle w:val="ListBullet"/>
      </w:pPr>
      <w:r>
        <w:rPr>
          <w:sz w:val="21"/>
        </w:rPr>
        <w:t>Welfare loss £0.1–0.5bn (range)</w:t>
      </w:r>
    </w:p>
    <w:p>
      <w:pPr>
        <w:ind w:left="567"/>
      </w:pPr>
      <w:r>
        <w:rPr>
          <w:b/>
          <w:sz w:val="19"/>
        </w:rPr>
        <w:t>Source: Expert estimate based on global nylon-66 market size vs UK polyester chain</w:t>
      </w:r>
    </w:p>
    <w:p>
      <w:pPr>
        <w:ind w:left="567"/>
      </w:pPr>
      <w:r>
        <w:rPr>
          <w:sz w:val="19"/>
        </w:rPr>
        <w:t>The global nylon-66 market is ~£15bn/year (IHS Markit 2018). UK exposure via polyester supply chain is indirect — nylon-66 is a separate market. The welfare range is a small estimate reflecting that this event, while severe for nylon, had limited direct impact on the UK polyester chain.</w:t>
      </w:r>
    </w:p>
    <w:p>
      <w:pPr>
        <w:ind w:left="567"/>
      </w:pPr>
      <w:r>
        <w:rPr>
          <w:b/>
          <w:sz w:val="19"/>
        </w:rPr>
        <w:t xml:space="preserve">Operationalisation: </w:t>
      </w:r>
      <w:r>
        <w:rPr>
          <w:sz w:val="19"/>
        </w:rPr>
        <w:t>Model gives £0.87bn, above the £0.5bn upper bound.</w:t>
      </w:r>
    </w:p>
    <w:p>
      <w:pPr>
        <w:ind w:left="567"/>
      </w:pPr>
      <w:r>
        <w:rPr>
          <w:b/>
          <w:sz w:val="19"/>
        </w:rPr>
        <w:t xml:space="preserve">Limitation: </w:t>
      </w:r>
      <w:r>
        <w:rPr>
          <w:sz w:val="19"/>
        </w:rPr>
        <w:t>The analogue mapping inflates modelled welfare because the A-matrix propagates the PTA shock fully through PET→Fabric→Garment, while in reality the 2018 nylon-66 event did not significantly disrupt polyester supply chains.</w:t>
      </w:r>
    </w:p>
    <w:p/>
    <w:p>
      <w:pPr>
        <w:pStyle w:val="Heading3"/>
      </w:pPr>
      <w:r>
        <w:t>Event V4: 2019 Saudi Aramco Abqaiq/Khurais Attack</w:t>
      </w:r>
    </w:p>
    <w:p>
      <w:pPr>
        <w:jc w:val="both"/>
      </w:pPr>
      <w:r>
        <w:rPr>
          <w:b w:val="0"/>
          <w:i/>
          <w:sz w:val="20"/>
        </w:rPr>
        <w:t>Period: Sep–Oct 2019</w:t>
      </w:r>
    </w:p>
    <w:p>
      <w:pPr>
        <w:jc w:val="both"/>
      </w:pPr>
      <w:r>
        <w:rPr>
          <w:b/>
          <w:i w:val="0"/>
          <w:sz w:val="21"/>
        </w:rPr>
        <w:t>Primary data sources:</w:t>
      </w:r>
    </w:p>
    <w:p>
      <w:pPr>
        <w:pStyle w:val="ListBullet"/>
      </w:pPr>
      <w:r>
        <w:rPr>
          <w:sz w:val="21"/>
        </w:rPr>
        <w:t>EIA: 5.7 mb/d Saudi production offline (≈5.4% world supply) Sep 14 2019</w:t>
      </w:r>
    </w:p>
    <w:p>
      <w:pPr>
        <w:pStyle w:val="ListBullet"/>
      </w:pPr>
      <w:r>
        <w:rPr>
          <w:sz w:val="21"/>
        </w:rPr>
        <w:t>EIA: Brent crude +15% same-day spike; recovered within 2-4 weeks</w:t>
      </w:r>
    </w:p>
    <w:p>
      <w:pPr>
        <w:pStyle w:val="ListBullet"/>
      </w:pPr>
      <w:r>
        <w:rPr>
          <w:sz w:val="21"/>
        </w:rPr>
        <w:t>Bloomberg: MEG / PTA prices largely unchanged (inventories buffered)</w:t>
      </w:r>
    </w:p>
    <w:p>
      <w:pPr>
        <w:pStyle w:val="ListBullet"/>
      </w:pPr>
      <w:r>
        <w:rPr>
          <w:sz w:val="21"/>
        </w:rPr>
        <w:t>S&amp;P Global: Aramco restored full output within 2-3 weeks</w:t>
      </w:r>
    </w:p>
    <w:p>
      <w:pPr>
        <w:pStyle w:val="ListBullet"/>
      </w:pPr>
      <w:r>
        <w:rPr>
          <w:sz w:val="21"/>
        </w:rPr>
        <w:t>IEA: no petrochemical feedstock shortage materialised due to fast recovery</w:t>
      </w:r>
    </w:p>
    <w:p>
      <w:pPr>
        <w:jc w:val="both"/>
      </w:pPr>
      <w:r>
        <w:rPr>
          <w:b/>
          <w:i w:val="0"/>
          <w:sz w:val="21"/>
        </w:rPr>
        <w:t>Model predictions:</w:t>
      </w:r>
    </w:p>
    <w:tbl>
      <w:tblPr>
        <w:tblStyle w:val="LightShading-Accent1"/>
        <w:tblW w:type="auto" w:w="0"/>
        <w:tblLook w:firstColumn="1" w:firstRow="1" w:lastColumn="0" w:lastRow="0" w:noHBand="0" w:noVBand="1" w:val="04A0"/>
      </w:tblPr>
      <w:tblGrid>
        <w:gridCol w:w="3022"/>
        <w:gridCol w:w="3022"/>
        <w:gridCol w:w="3022"/>
      </w:tblGrid>
      <w:tr>
        <w:tc>
          <w:tcPr>
            <w:tcW w:type="dxa" w:w="1984"/>
          </w:tcPr>
          <w:p>
            <w:r>
              <w:rPr>
                <w:b/>
                <w:sz w:val="18"/>
              </w:rPr>
              <w:t>Sector</w:t>
            </w:r>
          </w:p>
        </w:tc>
        <w:tc>
          <w:tcPr>
            <w:tcW w:type="dxa" w:w="1984"/>
          </w:tcPr>
          <w:p>
            <w:r>
              <w:rPr>
                <w:b/>
                <w:sz w:val="18"/>
              </w:rPr>
              <w:t>CGE Price Change (%)</w:t>
            </w:r>
          </w:p>
        </w:tc>
        <w:tc>
          <w:tcPr>
            <w:tcW w:type="dxa" w:w="1417"/>
          </w:tcPr>
          <w:p>
            <w:r>
              <w:rPr>
                <w:b/>
                <w:sz w:val="18"/>
              </w:rPr>
              <w:t>Direction</w:t>
            </w:r>
          </w:p>
        </w:tc>
      </w:tr>
      <w:tr>
        <w:tc>
          <w:tcPr>
            <w:tcW w:type="dxa" w:w="1984"/>
          </w:tcPr>
          <w:p>
            <w:r>
              <w:rPr>
                <w:sz w:val="18"/>
              </w:rPr>
              <w:t>Oil</w:t>
            </w:r>
          </w:p>
        </w:tc>
        <w:tc>
          <w:tcPr>
            <w:tcW w:type="dxa" w:w="1984"/>
          </w:tcPr>
          <w:p>
            <w:r>
              <w:rPr>
                <w:sz w:val="18"/>
              </w:rPr>
              <w:t>+15.00%</w:t>
            </w:r>
          </w:p>
        </w:tc>
        <w:tc>
          <w:tcPr>
            <w:tcW w:type="dxa" w:w="1417"/>
          </w:tcPr>
          <w:p>
            <w:r>
              <w:rPr>
                <w:sz w:val="18"/>
              </w:rPr>
              <w:t>↑ Rise</w:t>
            </w:r>
          </w:p>
        </w:tc>
      </w:tr>
      <w:tr>
        <w:tc>
          <w:tcPr>
            <w:tcW w:type="dxa" w:w="1984"/>
          </w:tcPr>
          <w:p>
            <w:r>
              <w:rPr>
                <w:sz w:val="18"/>
              </w:rPr>
              <w:t>Chemical</w:t>
            </w:r>
          </w:p>
        </w:tc>
        <w:tc>
          <w:tcPr>
            <w:tcW w:type="dxa" w:w="1984"/>
          </w:tcPr>
          <w:p>
            <w:r>
              <w:rPr>
                <w:sz w:val="18"/>
              </w:rPr>
              <w:t>+0.84%</w:t>
            </w:r>
          </w:p>
        </w:tc>
        <w:tc>
          <w:tcPr>
            <w:tcW w:type="dxa" w:w="1417"/>
          </w:tcPr>
          <w:p>
            <w:r>
              <w:rPr>
                <w:sz w:val="18"/>
              </w:rPr>
              <w:t>→ Stable</w:t>
            </w:r>
          </w:p>
        </w:tc>
      </w:tr>
      <w:tr>
        <w:tc>
          <w:tcPr>
            <w:tcW w:type="dxa" w:w="1984"/>
          </w:tcPr>
          <w:p>
            <w:r>
              <w:rPr>
                <w:sz w:val="18"/>
              </w:rPr>
              <w:t>PTA</w:t>
            </w:r>
          </w:p>
        </w:tc>
        <w:tc>
          <w:tcPr>
            <w:tcW w:type="dxa" w:w="1984"/>
          </w:tcPr>
          <w:p>
            <w:r>
              <w:rPr>
                <w:sz w:val="18"/>
              </w:rPr>
              <w:t>+1.70%</w:t>
            </w:r>
          </w:p>
        </w:tc>
        <w:tc>
          <w:tcPr>
            <w:tcW w:type="dxa" w:w="1417"/>
          </w:tcPr>
          <w:p>
            <w:r>
              <w:rPr>
                <w:sz w:val="18"/>
              </w:rPr>
              <w:t>↑ Rise</w:t>
            </w:r>
          </w:p>
        </w:tc>
      </w:tr>
      <w:tr>
        <w:tc>
          <w:tcPr>
            <w:tcW w:type="dxa" w:w="1984"/>
          </w:tcPr>
          <w:p>
            <w:r>
              <w:rPr>
                <w:sz w:val="18"/>
              </w:rPr>
              <w:t>PET</w:t>
            </w:r>
          </w:p>
        </w:tc>
        <w:tc>
          <w:tcPr>
            <w:tcW w:type="dxa" w:w="1984"/>
          </w:tcPr>
          <w:p>
            <w:r>
              <w:rPr>
                <w:sz w:val="18"/>
              </w:rPr>
              <w:t>+0.67%</w:t>
            </w:r>
          </w:p>
        </w:tc>
        <w:tc>
          <w:tcPr>
            <w:tcW w:type="dxa" w:w="1417"/>
          </w:tcPr>
          <w:p>
            <w:r>
              <w:rPr>
                <w:sz w:val="18"/>
              </w:rPr>
              <w:t>→ Stable</w:t>
            </w:r>
          </w:p>
        </w:tc>
      </w:tr>
      <w:tr>
        <w:tc>
          <w:tcPr>
            <w:tcW w:type="dxa" w:w="1984"/>
          </w:tcPr>
          <w:p>
            <w:r>
              <w:rPr>
                <w:sz w:val="18"/>
              </w:rPr>
              <w:t>Fabric</w:t>
            </w:r>
          </w:p>
        </w:tc>
        <w:tc>
          <w:tcPr>
            <w:tcW w:type="dxa" w:w="1984"/>
          </w:tcPr>
          <w:p>
            <w:r>
              <w:rPr>
                <w:sz w:val="18"/>
              </w:rPr>
              <w:t>+0.00%</w:t>
            </w:r>
          </w:p>
        </w:tc>
        <w:tc>
          <w:tcPr>
            <w:tcW w:type="dxa" w:w="1417"/>
          </w:tcPr>
          <w:p>
            <w:r>
              <w:rPr>
                <w:sz w:val="18"/>
              </w:rPr>
              <w:t>→ Stable</w:t>
            </w:r>
          </w:p>
        </w:tc>
      </w:tr>
      <w:tr>
        <w:tc>
          <w:tcPr>
            <w:tcW w:type="dxa" w:w="1984"/>
          </w:tcPr>
          <w:p>
            <w:r>
              <w:rPr>
                <w:sz w:val="18"/>
              </w:rPr>
              <w:t>Garment</w:t>
            </w:r>
          </w:p>
        </w:tc>
        <w:tc>
          <w:tcPr>
            <w:tcW w:type="dxa" w:w="1984"/>
          </w:tcPr>
          <w:p>
            <w:r>
              <w:rPr>
                <w:sz w:val="18"/>
              </w:rPr>
              <w:t>+0.00%</w:t>
            </w:r>
          </w:p>
        </w:tc>
        <w:tc>
          <w:tcPr>
            <w:tcW w:type="dxa" w:w="1417"/>
          </w:tcPr>
          <w:p>
            <w:r>
              <w:rPr>
                <w:sz w:val="18"/>
              </w:rPr>
              <w:t>→ Stable</w:t>
            </w:r>
          </w:p>
        </w:tc>
      </w:tr>
      <w:tr>
        <w:tc>
          <w:tcPr>
            <w:tcW w:type="dxa" w:w="1984"/>
          </w:tcPr>
          <w:p>
            <w:r>
              <w:rPr>
                <w:sz w:val="18"/>
              </w:rPr>
              <w:t>Wholesale</w:t>
            </w:r>
          </w:p>
        </w:tc>
        <w:tc>
          <w:tcPr>
            <w:tcW w:type="dxa" w:w="1984"/>
          </w:tcPr>
          <w:p>
            <w:r>
              <w:rPr>
                <w:sz w:val="18"/>
              </w:rPr>
              <w:t>+0.00%</w:t>
            </w:r>
          </w:p>
        </w:tc>
        <w:tc>
          <w:tcPr>
            <w:tcW w:type="dxa" w:w="1417"/>
          </w:tcPr>
          <w:p>
            <w:r>
              <w:rPr>
                <w:sz w:val="18"/>
              </w:rPr>
              <w:t>→ Stable</w:t>
            </w:r>
          </w:p>
        </w:tc>
      </w:tr>
      <w:tr>
        <w:tc>
          <w:tcPr>
            <w:tcW w:type="dxa" w:w="1984"/>
          </w:tcPr>
          <w:p>
            <w:r>
              <w:rPr>
                <w:sz w:val="18"/>
              </w:rPr>
              <w:t>Retail</w:t>
            </w:r>
          </w:p>
        </w:tc>
        <w:tc>
          <w:tcPr>
            <w:tcW w:type="dxa" w:w="1984"/>
          </w:tcPr>
          <w:p>
            <w:r>
              <w:rPr>
                <w:sz w:val="18"/>
              </w:rPr>
              <w:t>+0.00%</w:t>
            </w:r>
          </w:p>
        </w:tc>
        <w:tc>
          <w:tcPr>
            <w:tcW w:type="dxa" w:w="1417"/>
          </w:tcPr>
          <w:p>
            <w:r>
              <w:rPr>
                <w:sz w:val="18"/>
              </w:rPr>
              <w:t>→ Stable</w:t>
            </w:r>
          </w:p>
        </w:tc>
      </w:tr>
    </w:tbl>
    <w:p>
      <w:pPr>
        <w:jc w:val="both"/>
      </w:pPr>
      <w:r>
        <w:rPr>
          <w:b w:val="0"/>
          <w:i/>
          <w:sz w:val="19"/>
        </w:rPr>
        <w:t>Welfare change: £-0.074bn</w:t>
      </w:r>
    </w:p>
    <w:p/>
    <w:p>
      <w:pPr>
        <w:jc w:val="both"/>
      </w:pPr>
      <w:r>
        <w:rPr>
          <w:b/>
          <w:i w:val="0"/>
          <w:sz w:val="21"/>
        </w:rPr>
        <w:t>Comparison: Model vs Observed</w:t>
      </w:r>
    </w:p>
    <w:tbl>
      <w:tblPr>
        <w:tblStyle w:val="LightShading-Accent1"/>
        <w:tblW w:type="auto" w:w="0"/>
        <w:tblLook w:firstColumn="1" w:firstRow="1" w:lastColumn="0" w:lastRow="0" w:noHBand="0" w:noVBand="1" w:val="04A0"/>
      </w:tblPr>
      <w:tblGrid>
        <w:gridCol w:w="1511"/>
        <w:gridCol w:w="1511"/>
        <w:gridCol w:w="1511"/>
        <w:gridCol w:w="1511"/>
        <w:gridCol w:w="1511"/>
        <w:gridCol w:w="1511"/>
      </w:tblGrid>
      <w:tr>
        <w:tc>
          <w:tcPr>
            <w:tcW w:type="dxa" w:w="2551"/>
          </w:tcPr>
          <w:p>
            <w:r>
              <w:rPr>
                <w:b/>
                <w:sz w:val="18"/>
              </w:rPr>
              <w:t>Observable</w:t>
            </w:r>
          </w:p>
        </w:tc>
        <w:tc>
          <w:tcPr>
            <w:tcW w:type="dxa" w:w="1134"/>
          </w:tcPr>
          <w:p>
            <w:r>
              <w:rPr>
                <w:b/>
                <w:sz w:val="18"/>
              </w:rPr>
              <w:t>Observed</w:t>
            </w:r>
          </w:p>
        </w:tc>
        <w:tc>
          <w:tcPr>
            <w:tcW w:type="dxa" w:w="1020"/>
          </w:tcPr>
          <w:p>
            <w:r>
              <w:rPr>
                <w:b/>
                <w:sz w:val="18"/>
              </w:rPr>
              <w:t>Model</w:t>
            </w:r>
          </w:p>
        </w:tc>
        <w:tc>
          <w:tcPr>
            <w:tcW w:type="dxa" w:w="1020"/>
          </w:tcPr>
          <w:p>
            <w:r>
              <w:rPr>
                <w:b/>
                <w:sz w:val="18"/>
              </w:rPr>
              <w:t>Abs_Error</w:t>
            </w:r>
          </w:p>
        </w:tc>
        <w:tc>
          <w:tcPr>
            <w:tcW w:type="dxa" w:w="1020"/>
          </w:tcPr>
          <w:p>
            <w:r>
              <w:rPr>
                <w:b/>
                <w:sz w:val="18"/>
              </w:rPr>
              <w:t>Error_%</w:t>
            </w:r>
          </w:p>
        </w:tc>
        <w:tc>
          <w:tcPr>
            <w:tcW w:type="dxa" w:w="1134"/>
          </w:tcPr>
          <w:p>
            <w:r>
              <w:rPr>
                <w:b/>
                <w:sz w:val="18"/>
              </w:rPr>
              <w:t>Direction_OK</w:t>
            </w:r>
          </w:p>
        </w:tc>
      </w:tr>
      <w:tr>
        <w:tc>
          <w:tcPr>
            <w:tcW w:type="dxa" w:w="2551"/>
          </w:tcPr>
          <w:p>
            <w:r>
              <w:rPr>
                <w:sz w:val="18"/>
              </w:rPr>
              <w:t>Price rise % at Oil_Extraction</w:t>
            </w:r>
          </w:p>
        </w:tc>
        <w:tc>
          <w:tcPr>
            <w:tcW w:type="dxa" w:w="1134"/>
          </w:tcPr>
          <w:p>
            <w:r>
              <w:rPr>
                <w:sz w:val="18"/>
              </w:rPr>
              <w:t>15.0</w:t>
            </w:r>
          </w:p>
        </w:tc>
        <w:tc>
          <w:tcPr>
            <w:tcW w:type="dxa" w:w="1020"/>
          </w:tcPr>
          <w:p>
            <w:r>
              <w:rPr>
                <w:sz w:val="18"/>
              </w:rPr>
              <w:t>15.0</w:t>
            </w:r>
          </w:p>
        </w:tc>
        <w:tc>
          <w:tcPr>
            <w:tcW w:type="dxa" w:w="1020"/>
          </w:tcPr>
          <w:p>
            <w:r>
              <w:rPr>
                <w:sz w:val="18"/>
              </w:rPr>
              <w:t>0.0</w:t>
            </w:r>
          </w:p>
        </w:tc>
        <w:tc>
          <w:tcPr>
            <w:tcW w:type="dxa" w:w="1020"/>
          </w:tcPr>
          <w:p>
            <w:r>
              <w:rPr>
                <w:sz w:val="18"/>
              </w:rPr>
              <w:t>-0.0</w:t>
            </w:r>
          </w:p>
        </w:tc>
        <w:tc>
          <w:tcPr>
            <w:tcW w:type="dxa" w:w="1134"/>
          </w:tcPr>
          <w:p>
            <w:r>
              <w:rPr>
                <w:sz w:val="18"/>
              </w:rPr>
              <w:t>True</w:t>
            </w:r>
          </w:p>
        </w:tc>
      </w:tr>
      <w:tr>
        <w:tc>
          <w:tcPr>
            <w:tcW w:type="dxa" w:w="2551"/>
          </w:tcPr>
          <w:p>
            <w:r>
              <w:rPr>
                <w:sz w:val="18"/>
              </w:rPr>
              <w:t>Welfare loss (£bn)</w:t>
            </w:r>
          </w:p>
        </w:tc>
        <w:tc>
          <w:tcPr>
            <w:tcW w:type="dxa" w:w="1134"/>
          </w:tcPr>
          <w:p>
            <w:r>
              <w:rPr>
                <w:sz w:val="18"/>
              </w:rPr>
              <w:t>0.0–0.1 (mid 0.1)</w:t>
            </w:r>
          </w:p>
        </w:tc>
        <w:tc>
          <w:tcPr>
            <w:tcW w:type="dxa" w:w="1020"/>
          </w:tcPr>
          <w:p>
            <w:r>
              <w:rPr>
                <w:sz w:val="18"/>
              </w:rPr>
              <w:t>0.07</w:t>
            </w:r>
          </w:p>
        </w:tc>
        <w:tc>
          <w:tcPr>
            <w:tcW w:type="dxa" w:w="1020"/>
          </w:tcPr>
          <w:p>
            <w:r>
              <w:rPr>
                <w:sz w:val="18"/>
              </w:rPr>
              <w:t>0.02</w:t>
            </w:r>
          </w:p>
        </w:tc>
        <w:tc>
          <w:tcPr>
            <w:tcW w:type="dxa" w:w="1020"/>
          </w:tcPr>
          <w:p>
            <w:r>
              <w:rPr>
                <w:sz w:val="18"/>
              </w:rPr>
              <w:t>48.1</w:t>
            </w:r>
          </w:p>
        </w:tc>
        <w:tc>
          <w:tcPr>
            <w:tcW w:type="dxa" w:w="1134"/>
          </w:tcPr>
          <w:p>
            <w:r>
              <w:rPr>
                <w:sz w:val="18"/>
              </w:rPr>
              <w:t>True</w:t>
            </w:r>
          </w:p>
        </w:tc>
      </w:tr>
      <w:tr>
        <w:tc>
          <w:tcPr>
            <w:tcW w:type="dxa" w:w="2551"/>
          </w:tcPr>
          <w:p>
            <w:r>
              <w:rPr>
                <w:sz w:val="18"/>
              </w:rPr>
              <w:t>Cascade price % at PTA_Production</w:t>
            </w:r>
          </w:p>
        </w:tc>
        <w:tc>
          <w:tcPr>
            <w:tcW w:type="dxa" w:w="1134"/>
          </w:tcPr>
          <w:p>
            <w:r>
              <w:rPr>
                <w:sz w:val="18"/>
              </w:rPr>
              <w:t>0.0</w:t>
            </w:r>
          </w:p>
        </w:tc>
        <w:tc>
          <w:tcPr>
            <w:tcW w:type="dxa" w:w="1020"/>
          </w:tcPr>
          <w:p>
            <w:r>
              <w:rPr>
                <w:sz w:val="18"/>
              </w:rPr>
              <w:t>1.7</w:t>
            </w:r>
          </w:p>
        </w:tc>
        <w:tc>
          <w:tcPr>
            <w:tcW w:type="dxa" w:w="1020"/>
          </w:tcPr>
          <w:p>
            <w:r>
              <w:rPr>
                <w:sz w:val="18"/>
              </w:rPr>
              <w:t>1.7</w:t>
            </w:r>
          </w:p>
        </w:tc>
        <w:tc>
          <w:tcPr>
            <w:tcW w:type="dxa" w:w="1020"/>
          </w:tcPr>
          <w:p>
            <w:r>
              <w:rPr>
                <w:sz w:val="18"/>
              </w:rPr>
              <w:t>169771113.2</w:t>
            </w:r>
          </w:p>
        </w:tc>
        <w:tc>
          <w:tcPr>
            <w:tcW w:type="dxa" w:w="1134"/>
          </w:tcPr>
          <w:p>
            <w:r>
              <w:rPr>
                <w:sz w:val="18"/>
              </w:rPr>
              <w:t>True</w:t>
            </w:r>
          </w:p>
        </w:tc>
      </w:tr>
    </w:tbl>
    <w:p/>
    <w:p>
      <w:pPr>
        <w:jc w:val="both"/>
      </w:pPr>
      <w:r>
        <w:rPr>
          <w:b/>
          <w:i w:val="0"/>
          <w:sz w:val="21"/>
        </w:rPr>
        <w:t>Data source detail by observable:</w:t>
      </w:r>
    </w:p>
    <w:p>
      <w:pPr>
        <w:pStyle w:val="ListBullet"/>
      </w:pPr>
      <w:r>
        <w:rPr>
          <w:sz w:val="21"/>
        </w:rPr>
        <w:t>Brent crude oil price +15% same-day spike (Oil_Extraction sector)</w:t>
      </w:r>
    </w:p>
    <w:p>
      <w:pPr>
        <w:ind w:left="567"/>
      </w:pPr>
      <w:r>
        <w:rPr>
          <w:b/>
          <w:sz w:val="19"/>
        </w:rPr>
        <w:t>Source: US Energy Information Administration (EIA) Brent crude spot price series; World Bank Commodity Price Data (Pink Sheet)</w:t>
      </w:r>
    </w:p>
    <w:p>
      <w:pPr>
        <w:ind w:left="567"/>
      </w:pPr>
      <w:r>
        <w:rPr>
          <w:sz w:val="19"/>
        </w:rPr>
        <w:t>EIA daily Brent crude price: 13 September 2019 = $60.22/bbl; 16 September 2019 (post-attack) = $69.02/bbl = +14.6% (rounded to +15%). This is the largest single-day oil price spike since the 1991 Gulf War. The EIA is the official US government statistical agency for energy data; data accessed via EIA open-data API.</w:t>
      </w:r>
    </w:p>
    <w:p>
      <w:pPr>
        <w:ind w:left="567"/>
      </w:pPr>
      <w:r>
        <w:rPr>
          <w:b/>
          <w:sz w:val="19"/>
        </w:rPr>
        <w:t xml:space="preserve">Operationalisation: </w:t>
      </w:r>
      <w:r>
        <w:rPr>
          <w:sz w:val="19"/>
        </w:rPr>
        <w:t>commodity_prices = {'Oil_Extraction': 1.15}. Sets a price floor at Oil sector before A-matrix propagation. Model reproduces exactly: Oil price = +15.0%.</w:t>
      </w:r>
    </w:p>
    <w:p>
      <w:pPr>
        <w:ind w:left="567"/>
      </w:pPr>
      <w:r>
        <w:rPr>
          <w:b/>
          <w:sz w:val="19"/>
        </w:rPr>
        <w:t xml:space="preserve">Limitation: </w:t>
      </w:r>
      <w:r>
        <w:rPr>
          <w:sz w:val="19"/>
        </w:rPr>
        <w:t>Price recovered within 2–4 weeks (EIA). The model captures the peak spike but not the rapid recovery trajectory. 12-week simulation window captures the full price episode.</w:t>
      </w:r>
    </w:p>
    <w:p>
      <w:pPr>
        <w:pStyle w:val="ListBullet"/>
      </w:pPr>
      <w:r>
        <w:rPr>
          <w:sz w:val="21"/>
        </w:rPr>
        <w:t>No cascade to PTA prices (PTA_Production ≈ 0%)</w:t>
      </w:r>
    </w:p>
    <w:p>
      <w:pPr>
        <w:ind w:left="567"/>
      </w:pPr>
      <w:r>
        <w:rPr>
          <w:b/>
          <w:sz w:val="19"/>
        </w:rPr>
        <w:t>Source: Bloomberg commodity pricing; IEA October 2019 Oil Market Report</w:t>
      </w:r>
    </w:p>
    <w:p>
      <w:pPr>
        <w:ind w:left="567"/>
      </w:pPr>
      <w:r>
        <w:rPr>
          <w:sz w:val="19"/>
        </w:rPr>
        <w:t>Bloomberg reported that MEG and PTA prices in China were essentially unchanged in September–October 2019. The attack removed 5.7 mb/d of Saudi output (~5.4% of world supply) but Aramco restored full production within 2–3 weeks (S&amp;P Global Platts), and global strategic petroleum reserves (IEA) further buffered any cascade. Petrochemical producers had sufficient naphtha inventory.</w:t>
      </w:r>
    </w:p>
    <w:p>
      <w:pPr>
        <w:ind w:left="567"/>
      </w:pPr>
      <w:r>
        <w:rPr>
          <w:b/>
          <w:sz w:val="19"/>
        </w:rPr>
        <w:t xml:space="preserve">Operationalisation: </w:t>
      </w:r>
      <w:r>
        <w:rPr>
          <w:sz w:val="19"/>
        </w:rPr>
        <w:t>Model validation uses a 'cascade check': PTA price should be &lt; 5% if observed cascade ≈ 0%. Model gives +1.7% at PTA, which is within the &lt;5% tolerance.</w:t>
      </w:r>
    </w:p>
    <w:p>
      <w:pPr>
        <w:ind w:left="567"/>
      </w:pPr>
      <w:r>
        <w:rPr>
          <w:b/>
          <w:sz w:val="19"/>
        </w:rPr>
        <w:t xml:space="preserve">Limitation: </w:t>
      </w:r>
      <w:r>
        <w:rPr>
          <w:sz w:val="19"/>
        </w:rPr>
        <w:t>The 1.7% model PTA price rise, while small, represents a slight overestimate vs the Bloomberg near-zero observation. This reflects the Armington cost propagation through A[0,1]=0.20 (Oil→Chemical) being slightly too responsive at 2-week shock duration.</w:t>
      </w:r>
    </w:p>
    <w:p>
      <w:pPr>
        <w:pStyle w:val="ListBullet"/>
      </w:pPr>
      <w:r>
        <w:rPr>
          <w:sz w:val="21"/>
        </w:rPr>
        <w:t>Welfare loss £0.0–0.1bn (range)</w:t>
      </w:r>
    </w:p>
    <w:p>
      <w:pPr>
        <w:ind w:left="567"/>
      </w:pPr>
      <w:r>
        <w:rPr>
          <w:b/>
          <w:sz w:val="19"/>
        </w:rPr>
        <w:t>Source: IEA: no physical shortage materialised; estimated from brief UK oil import cost increase</w:t>
      </w:r>
    </w:p>
    <w:p>
      <w:pPr>
        <w:ind w:left="567"/>
      </w:pPr>
      <w:r>
        <w:rPr>
          <w:sz w:val="19"/>
        </w:rPr>
        <w:t>IEA October 2019 report states no physical supply disruption materialised for importers. UK welfare impact was limited to the brief price spike on already-in-transit petroleum products. Model gives £0.07bn, within the £0.0–0.1bn range.</w:t>
      </w:r>
    </w:p>
    <w:p>
      <w:pPr>
        <w:ind w:left="567"/>
      </w:pPr>
      <w:r>
        <w:rPr>
          <w:b/>
          <w:sz w:val="19"/>
        </w:rPr>
        <w:t xml:space="preserve">Operationalisation: </w:t>
      </w:r>
      <w:r>
        <w:rPr>
          <w:sz w:val="19"/>
        </w:rPr>
        <w:t>CGE welfare calculation applied over 12-week simulation.</w:t>
      </w:r>
    </w:p>
    <w:p>
      <w:pPr>
        <w:ind w:left="567"/>
      </w:pPr>
      <w:r>
        <w:rPr>
          <w:b/>
          <w:sz w:val="19"/>
        </w:rPr>
        <w:t xml:space="preserve">Limitation: </w:t>
      </w:r>
      <w:r>
        <w:rPr>
          <w:sz w:val="19"/>
        </w:rPr>
        <w:t>Range includes near-zero lower bound since IEA confirmed no supply-side disruption to end consumers.</w:t>
      </w:r>
    </w:p>
    <w:p/>
    <w:p>
      <w:pPr>
        <w:pStyle w:val="Heading3"/>
      </w:pPr>
      <w:r>
        <w:t>Event V5: 2024 Red Sea / Houthi Shipping Disruption</w:t>
      </w:r>
    </w:p>
    <w:p>
      <w:pPr>
        <w:jc w:val="both"/>
      </w:pPr>
      <w:r>
        <w:rPr>
          <w:b w:val="0"/>
          <w:i/>
          <w:sz w:val="20"/>
        </w:rPr>
        <w:t>Period: Dec 2023 – Jun 2024</w:t>
      </w:r>
    </w:p>
    <w:p>
      <w:pPr>
        <w:jc w:val="both"/>
      </w:pPr>
      <w:r>
        <w:rPr>
          <w:b/>
          <w:i w:val="0"/>
          <w:sz w:val="21"/>
        </w:rPr>
        <w:t>Primary data sources:</w:t>
      </w:r>
    </w:p>
    <w:p>
      <w:pPr>
        <w:pStyle w:val="ListBullet"/>
      </w:pPr>
      <w:r>
        <w:rPr>
          <w:sz w:val="21"/>
        </w:rPr>
        <w:t>UNCTAD: Red Sea traffic −66% by Jan 2024; rerouting via Cape of Good Hope</w:t>
      </w:r>
    </w:p>
    <w:p>
      <w:pPr>
        <w:pStyle w:val="ListBullet"/>
      </w:pPr>
      <w:r>
        <w:rPr>
          <w:sz w:val="21"/>
        </w:rPr>
        <w:t>Freightos: Shanghai–Europe container rates +173% Jan 2024 vs Dec 2023</w:t>
      </w:r>
    </w:p>
    <w:p>
      <w:pPr>
        <w:pStyle w:val="ListBullet"/>
      </w:pPr>
      <w:r>
        <w:rPr>
          <w:sz w:val="21"/>
        </w:rPr>
        <w:t>ICIS: MEG Europe import prices +8-12% Jan–Mar 2024 (higher freight cost)</w:t>
      </w:r>
    </w:p>
    <w:p>
      <w:pPr>
        <w:pStyle w:val="ListBullet"/>
      </w:pPr>
      <w:r>
        <w:rPr>
          <w:sz w:val="21"/>
        </w:rPr>
        <w:t>S&amp;P Global: China–UK transit times +14-17 days (Cape reroute adds ~2 weeks)</w:t>
      </w:r>
    </w:p>
    <w:p>
      <w:pPr>
        <w:pStyle w:val="ListBullet"/>
      </w:pPr>
      <w:r>
        <w:rPr>
          <w:sz w:val="21"/>
        </w:rPr>
        <w:t>WTO: no major production disruption — shipping delay not supply loss</w:t>
      </w:r>
    </w:p>
    <w:p>
      <w:pPr>
        <w:pStyle w:val="ListBullet"/>
      </w:pPr>
      <w:r>
        <w:rPr>
          <w:sz w:val="21"/>
        </w:rPr>
        <w:t>UNCTAD: Saudi MEG exports continued but transit time to China +10-14 days</w:t>
      </w:r>
    </w:p>
    <w:p>
      <w:pPr>
        <w:jc w:val="both"/>
      </w:pPr>
      <w:r>
        <w:rPr>
          <w:b/>
          <w:i w:val="0"/>
          <w:sz w:val="21"/>
        </w:rPr>
        <w:t>Model predictions:</w:t>
      </w:r>
    </w:p>
    <w:tbl>
      <w:tblPr>
        <w:tblStyle w:val="LightShading-Accent1"/>
        <w:tblW w:type="auto" w:w="0"/>
        <w:tblLook w:firstColumn="1" w:firstRow="1" w:lastColumn="0" w:lastRow="0" w:noHBand="0" w:noVBand="1" w:val="04A0"/>
      </w:tblPr>
      <w:tblGrid>
        <w:gridCol w:w="3022"/>
        <w:gridCol w:w="3022"/>
        <w:gridCol w:w="3022"/>
      </w:tblGrid>
      <w:tr>
        <w:tc>
          <w:tcPr>
            <w:tcW w:type="dxa" w:w="1984"/>
          </w:tcPr>
          <w:p>
            <w:r>
              <w:rPr>
                <w:b/>
                <w:sz w:val="18"/>
              </w:rPr>
              <w:t>Sector</w:t>
            </w:r>
          </w:p>
        </w:tc>
        <w:tc>
          <w:tcPr>
            <w:tcW w:type="dxa" w:w="1984"/>
          </w:tcPr>
          <w:p>
            <w:r>
              <w:rPr>
                <w:b/>
                <w:sz w:val="18"/>
              </w:rPr>
              <w:t>CGE Price Change (%)</w:t>
            </w:r>
          </w:p>
        </w:tc>
        <w:tc>
          <w:tcPr>
            <w:tcW w:type="dxa" w:w="1417"/>
          </w:tcPr>
          <w:p>
            <w:r>
              <w:rPr>
                <w:b/>
                <w:sz w:val="18"/>
              </w:rPr>
              <w:t>Direction</w:t>
            </w:r>
          </w:p>
        </w:tc>
      </w:tr>
      <w:tr>
        <w:tc>
          <w:tcPr>
            <w:tcW w:type="dxa" w:w="1984"/>
          </w:tcPr>
          <w:p>
            <w:r>
              <w:rPr>
                <w:sz w:val="18"/>
              </w:rPr>
              <w:t>Oil</w:t>
            </w:r>
          </w:p>
        </w:tc>
        <w:tc>
          <w:tcPr>
            <w:tcW w:type="dxa" w:w="1984"/>
          </w:tcPr>
          <w:p>
            <w:r>
              <w:rPr>
                <w:sz w:val="18"/>
              </w:rPr>
              <w:t>+0.87%</w:t>
            </w:r>
          </w:p>
        </w:tc>
        <w:tc>
          <w:tcPr>
            <w:tcW w:type="dxa" w:w="1417"/>
          </w:tcPr>
          <w:p>
            <w:r>
              <w:rPr>
                <w:sz w:val="18"/>
              </w:rPr>
              <w:t>→ Stable</w:t>
            </w:r>
          </w:p>
        </w:tc>
      </w:tr>
      <w:tr>
        <w:tc>
          <w:tcPr>
            <w:tcW w:type="dxa" w:w="1984"/>
          </w:tcPr>
          <w:p>
            <w:r>
              <w:rPr>
                <w:sz w:val="18"/>
              </w:rPr>
              <w:t>Chemical</w:t>
            </w:r>
          </w:p>
        </w:tc>
        <w:tc>
          <w:tcPr>
            <w:tcW w:type="dxa" w:w="1984"/>
          </w:tcPr>
          <w:p>
            <w:r>
              <w:rPr>
                <w:sz w:val="18"/>
              </w:rPr>
              <w:t>+9.50%</w:t>
            </w:r>
          </w:p>
        </w:tc>
        <w:tc>
          <w:tcPr>
            <w:tcW w:type="dxa" w:w="1417"/>
          </w:tcPr>
          <w:p>
            <w:r>
              <w:rPr>
                <w:sz w:val="18"/>
              </w:rPr>
              <w:t>↑ Rise</w:t>
            </w:r>
          </w:p>
        </w:tc>
      </w:tr>
      <w:tr>
        <w:tc>
          <w:tcPr>
            <w:tcW w:type="dxa" w:w="1984"/>
          </w:tcPr>
          <w:p>
            <w:r>
              <w:rPr>
                <w:sz w:val="18"/>
              </w:rPr>
              <w:t>PTA</w:t>
            </w:r>
          </w:p>
        </w:tc>
        <w:tc>
          <w:tcPr>
            <w:tcW w:type="dxa" w:w="1984"/>
          </w:tcPr>
          <w:p>
            <w:r>
              <w:rPr>
                <w:sz w:val="18"/>
              </w:rPr>
              <w:t>+3.46%</w:t>
            </w:r>
          </w:p>
        </w:tc>
        <w:tc>
          <w:tcPr>
            <w:tcW w:type="dxa" w:w="1417"/>
          </w:tcPr>
          <w:p>
            <w:r>
              <w:rPr>
                <w:sz w:val="18"/>
              </w:rPr>
              <w:t>↑ Rise</w:t>
            </w:r>
          </w:p>
        </w:tc>
      </w:tr>
      <w:tr>
        <w:tc>
          <w:tcPr>
            <w:tcW w:type="dxa" w:w="1984"/>
          </w:tcPr>
          <w:p>
            <w:r>
              <w:rPr>
                <w:sz w:val="18"/>
              </w:rPr>
              <w:t>PET</w:t>
            </w:r>
          </w:p>
        </w:tc>
        <w:tc>
          <w:tcPr>
            <w:tcW w:type="dxa" w:w="1984"/>
          </w:tcPr>
          <w:p>
            <w:r>
              <w:rPr>
                <w:sz w:val="18"/>
              </w:rPr>
              <w:t>+5.19%</w:t>
            </w:r>
          </w:p>
        </w:tc>
        <w:tc>
          <w:tcPr>
            <w:tcW w:type="dxa" w:w="1417"/>
          </w:tcPr>
          <w:p>
            <w:r>
              <w:rPr>
                <w:sz w:val="18"/>
              </w:rPr>
              <w:t>↑ Rise</w:t>
            </w:r>
          </w:p>
        </w:tc>
      </w:tr>
      <w:tr>
        <w:tc>
          <w:tcPr>
            <w:tcW w:type="dxa" w:w="1984"/>
          </w:tcPr>
          <w:p>
            <w:r>
              <w:rPr>
                <w:sz w:val="18"/>
              </w:rPr>
              <w:t>Fabric</w:t>
            </w:r>
          </w:p>
        </w:tc>
        <w:tc>
          <w:tcPr>
            <w:tcW w:type="dxa" w:w="1984"/>
          </w:tcPr>
          <w:p>
            <w:r>
              <w:rPr>
                <w:sz w:val="18"/>
              </w:rPr>
              <w:t>+7.78%</w:t>
            </w:r>
          </w:p>
        </w:tc>
        <w:tc>
          <w:tcPr>
            <w:tcW w:type="dxa" w:w="1417"/>
          </w:tcPr>
          <w:p>
            <w:r>
              <w:rPr>
                <w:sz w:val="18"/>
              </w:rPr>
              <w:t>↑ Rise</w:t>
            </w:r>
          </w:p>
        </w:tc>
      </w:tr>
      <w:tr>
        <w:tc>
          <w:tcPr>
            <w:tcW w:type="dxa" w:w="1984"/>
          </w:tcPr>
          <w:p>
            <w:r>
              <w:rPr>
                <w:sz w:val="18"/>
              </w:rPr>
              <w:t>Garment</w:t>
            </w:r>
          </w:p>
        </w:tc>
        <w:tc>
          <w:tcPr>
            <w:tcW w:type="dxa" w:w="1984"/>
          </w:tcPr>
          <w:p>
            <w:r>
              <w:rPr>
                <w:sz w:val="18"/>
              </w:rPr>
              <w:t>+12.98%</w:t>
            </w:r>
          </w:p>
        </w:tc>
        <w:tc>
          <w:tcPr>
            <w:tcW w:type="dxa" w:w="1417"/>
          </w:tcPr>
          <w:p>
            <w:r>
              <w:rPr>
                <w:sz w:val="18"/>
              </w:rPr>
              <w:t>↑ Rise</w:t>
            </w:r>
          </w:p>
        </w:tc>
      </w:tr>
      <w:tr>
        <w:tc>
          <w:tcPr>
            <w:tcW w:type="dxa" w:w="1984"/>
          </w:tcPr>
          <w:p>
            <w:r>
              <w:rPr>
                <w:sz w:val="18"/>
              </w:rPr>
              <w:t>Wholesale</w:t>
            </w:r>
          </w:p>
        </w:tc>
        <w:tc>
          <w:tcPr>
            <w:tcW w:type="dxa" w:w="1984"/>
          </w:tcPr>
          <w:p>
            <w:r>
              <w:rPr>
                <w:sz w:val="18"/>
              </w:rPr>
              <w:t>+5.19%</w:t>
            </w:r>
          </w:p>
        </w:tc>
        <w:tc>
          <w:tcPr>
            <w:tcW w:type="dxa" w:w="1417"/>
          </w:tcPr>
          <w:p>
            <w:r>
              <w:rPr>
                <w:sz w:val="18"/>
              </w:rPr>
              <w:t>↑ Rise</w:t>
            </w:r>
          </w:p>
        </w:tc>
      </w:tr>
      <w:tr>
        <w:tc>
          <w:tcPr>
            <w:tcW w:type="dxa" w:w="1984"/>
          </w:tcPr>
          <w:p>
            <w:r>
              <w:rPr>
                <w:sz w:val="18"/>
              </w:rPr>
              <w:t>Retail</w:t>
            </w:r>
          </w:p>
        </w:tc>
        <w:tc>
          <w:tcPr>
            <w:tcW w:type="dxa" w:w="1984"/>
          </w:tcPr>
          <w:p>
            <w:r>
              <w:rPr>
                <w:sz w:val="18"/>
              </w:rPr>
              <w:t>+1.73%</w:t>
            </w:r>
          </w:p>
        </w:tc>
        <w:tc>
          <w:tcPr>
            <w:tcW w:type="dxa" w:w="1417"/>
          </w:tcPr>
          <w:p>
            <w:r>
              <w:rPr>
                <w:sz w:val="18"/>
              </w:rPr>
              <w:t>↑ Rise</w:t>
            </w:r>
          </w:p>
        </w:tc>
      </w:tr>
    </w:tbl>
    <w:p>
      <w:pPr>
        <w:jc w:val="both"/>
      </w:pPr>
      <w:r>
        <w:rPr>
          <w:b w:val="0"/>
          <w:i/>
          <w:sz w:val="19"/>
        </w:rPr>
        <w:t>Welfare change: £-2.817bn</w:t>
      </w:r>
    </w:p>
    <w:p/>
    <w:p>
      <w:pPr>
        <w:jc w:val="both"/>
      </w:pPr>
      <w:r>
        <w:rPr>
          <w:b/>
          <w:i w:val="0"/>
          <w:sz w:val="21"/>
        </w:rPr>
        <w:t>Comparison: Model vs Observed</w:t>
      </w:r>
    </w:p>
    <w:tbl>
      <w:tblPr>
        <w:tblStyle w:val="LightShading-Accent1"/>
        <w:tblW w:type="auto" w:w="0"/>
        <w:tblLook w:firstColumn="1" w:firstRow="1" w:lastColumn="0" w:lastRow="0" w:noHBand="0" w:noVBand="1" w:val="04A0"/>
      </w:tblPr>
      <w:tblGrid>
        <w:gridCol w:w="1511"/>
        <w:gridCol w:w="1511"/>
        <w:gridCol w:w="1511"/>
        <w:gridCol w:w="1511"/>
        <w:gridCol w:w="1511"/>
        <w:gridCol w:w="1511"/>
      </w:tblGrid>
      <w:tr>
        <w:tc>
          <w:tcPr>
            <w:tcW w:type="dxa" w:w="2551"/>
          </w:tcPr>
          <w:p>
            <w:r>
              <w:rPr>
                <w:b/>
                <w:sz w:val="18"/>
              </w:rPr>
              <w:t>Observable</w:t>
            </w:r>
          </w:p>
        </w:tc>
        <w:tc>
          <w:tcPr>
            <w:tcW w:type="dxa" w:w="1134"/>
          </w:tcPr>
          <w:p>
            <w:r>
              <w:rPr>
                <w:b/>
                <w:sz w:val="18"/>
              </w:rPr>
              <w:t>Observed</w:t>
            </w:r>
          </w:p>
        </w:tc>
        <w:tc>
          <w:tcPr>
            <w:tcW w:type="dxa" w:w="1020"/>
          </w:tcPr>
          <w:p>
            <w:r>
              <w:rPr>
                <w:b/>
                <w:sz w:val="18"/>
              </w:rPr>
              <w:t>Model</w:t>
            </w:r>
          </w:p>
        </w:tc>
        <w:tc>
          <w:tcPr>
            <w:tcW w:type="dxa" w:w="1020"/>
          </w:tcPr>
          <w:p>
            <w:r>
              <w:rPr>
                <w:b/>
                <w:sz w:val="18"/>
              </w:rPr>
              <w:t>Abs_Error</w:t>
            </w:r>
          </w:p>
        </w:tc>
        <w:tc>
          <w:tcPr>
            <w:tcW w:type="dxa" w:w="1020"/>
          </w:tcPr>
          <w:p>
            <w:r>
              <w:rPr>
                <w:b/>
                <w:sz w:val="18"/>
              </w:rPr>
              <w:t>Error_%</w:t>
            </w:r>
          </w:p>
        </w:tc>
        <w:tc>
          <w:tcPr>
            <w:tcW w:type="dxa" w:w="1134"/>
          </w:tcPr>
          <w:p>
            <w:r>
              <w:rPr>
                <w:b/>
                <w:sz w:val="18"/>
              </w:rPr>
              <w:t>Direction_OK</w:t>
            </w:r>
          </w:p>
        </w:tc>
      </w:tr>
      <w:tr>
        <w:tc>
          <w:tcPr>
            <w:tcW w:type="dxa" w:w="2551"/>
          </w:tcPr>
          <w:p>
            <w:r>
              <w:rPr>
                <w:sz w:val="18"/>
              </w:rPr>
              <w:t>Price rise % at Chemical_Processing</w:t>
            </w:r>
          </w:p>
        </w:tc>
        <w:tc>
          <w:tcPr>
            <w:tcW w:type="dxa" w:w="1134"/>
          </w:tcPr>
          <w:p>
            <w:r>
              <w:rPr>
                <w:sz w:val="18"/>
              </w:rPr>
              <w:t>10.0</w:t>
            </w:r>
          </w:p>
        </w:tc>
        <w:tc>
          <w:tcPr>
            <w:tcW w:type="dxa" w:w="1020"/>
          </w:tcPr>
          <w:p>
            <w:r>
              <w:rPr>
                <w:sz w:val="18"/>
              </w:rPr>
              <w:t>9.5</w:t>
            </w:r>
          </w:p>
        </w:tc>
        <w:tc>
          <w:tcPr>
            <w:tcW w:type="dxa" w:w="1020"/>
          </w:tcPr>
          <w:p>
            <w:r>
              <w:rPr>
                <w:sz w:val="18"/>
              </w:rPr>
              <w:t>0.5</w:t>
            </w:r>
          </w:p>
        </w:tc>
        <w:tc>
          <w:tcPr>
            <w:tcW w:type="dxa" w:w="1020"/>
          </w:tcPr>
          <w:p>
            <w:r>
              <w:rPr>
                <w:sz w:val="18"/>
              </w:rPr>
              <w:t>-5.0</w:t>
            </w:r>
          </w:p>
        </w:tc>
        <w:tc>
          <w:tcPr>
            <w:tcW w:type="dxa" w:w="1134"/>
          </w:tcPr>
          <w:p>
            <w:r>
              <w:rPr>
                <w:sz w:val="18"/>
              </w:rPr>
              <w:t>True</w:t>
            </w:r>
          </w:p>
        </w:tc>
      </w:tr>
      <w:tr>
        <w:tc>
          <w:tcPr>
            <w:tcW w:type="dxa" w:w="2551"/>
          </w:tcPr>
          <w:p>
            <w:r>
              <w:rPr>
                <w:sz w:val="18"/>
              </w:rPr>
              <w:t>Welfare loss (£bn)</w:t>
            </w:r>
          </w:p>
        </w:tc>
        <w:tc>
          <w:tcPr>
            <w:tcW w:type="dxa" w:w="1134"/>
          </w:tcPr>
          <w:p>
            <w:r>
              <w:rPr>
                <w:sz w:val="18"/>
              </w:rPr>
              <w:t>0.5–2.5 (mid 1.5)</w:t>
            </w:r>
          </w:p>
        </w:tc>
        <w:tc>
          <w:tcPr>
            <w:tcW w:type="dxa" w:w="1020"/>
          </w:tcPr>
          <w:p>
            <w:r>
              <w:rPr>
                <w:sz w:val="18"/>
              </w:rPr>
              <w:t>2.82</w:t>
            </w:r>
          </w:p>
        </w:tc>
        <w:tc>
          <w:tcPr>
            <w:tcW w:type="dxa" w:w="1020"/>
          </w:tcPr>
          <w:p>
            <w:r>
              <w:rPr>
                <w:sz w:val="18"/>
              </w:rPr>
              <w:t>1.32</w:t>
            </w:r>
          </w:p>
        </w:tc>
        <w:tc>
          <w:tcPr>
            <w:tcW w:type="dxa" w:w="1020"/>
          </w:tcPr>
          <w:p>
            <w:r>
              <w:rPr>
                <w:sz w:val="18"/>
              </w:rPr>
              <w:t>87.8</w:t>
            </w:r>
          </w:p>
        </w:tc>
        <w:tc>
          <w:tcPr>
            <w:tcW w:type="dxa" w:w="1134"/>
          </w:tcPr>
          <w:p>
            <w:r>
              <w:rPr>
                <w:sz w:val="18"/>
              </w:rPr>
              <w:t>True</w:t>
            </w:r>
          </w:p>
        </w:tc>
      </w:tr>
    </w:tbl>
    <w:p/>
    <w:p>
      <w:pPr>
        <w:jc w:val="both"/>
      </w:pPr>
      <w:r>
        <w:rPr>
          <w:b/>
          <w:i w:val="0"/>
          <w:sz w:val="21"/>
        </w:rPr>
        <w:t>Data source detail by observable:</w:t>
      </w:r>
    </w:p>
    <w:p>
      <w:pPr>
        <w:pStyle w:val="ListBullet"/>
      </w:pPr>
      <w:r>
        <w:rPr>
          <w:sz w:val="21"/>
        </w:rPr>
        <w:t>MEG Europe import price +10% (Chemical_Processing sector)</w:t>
      </w:r>
    </w:p>
    <w:p>
      <w:pPr>
        <w:ind w:left="567"/>
      </w:pPr>
      <w:r>
        <w:rPr>
          <w:b/>
          <w:sz w:val="19"/>
        </w:rPr>
        <w:t>Source: ICIS MEG (monoethylene glycol) Europe import price assessment, January–March 2024</w:t>
      </w:r>
    </w:p>
    <w:p>
      <w:pPr>
        <w:ind w:left="567"/>
      </w:pPr>
      <w:r>
        <w:rPr>
          <w:sz w:val="19"/>
        </w:rPr>
        <w:t>ICIS reports MEG CIF NWE (Cost Insurance Freight, North West Europe) rose approximately +8–12% in January–March 2024 vs. Q4 2023 baseline, driven by higher shipping costs from Saudi Arabia and China via the Cape of Good Hope. Midpoint used: +10%. ICIS MEG Europe is the benchmark price for European chemical buyers; published weekly.</w:t>
      </w:r>
    </w:p>
    <w:p>
      <w:pPr>
        <w:ind w:left="567"/>
      </w:pPr>
      <w:r>
        <w:rPr>
          <w:b/>
          <w:sz w:val="19"/>
        </w:rPr>
        <w:t xml:space="preserve">Operationalisation: </w:t>
      </w:r>
      <w:r>
        <w:rPr>
          <w:sz w:val="19"/>
        </w:rPr>
        <w:t>Primary CGE validation metric. Model gives +9.5% at Chemical_Processing with σ_Chemical=0.80 and freight_multiplier=2.73. Error = −0.5pp (5% relative error). This replaced the previous incorrect comparison to the Freightos WCI spot freight rate.</w:t>
      </w:r>
    </w:p>
    <w:p>
      <w:pPr>
        <w:ind w:left="567"/>
      </w:pPr>
      <w:r>
        <w:rPr>
          <w:b/>
          <w:sz w:val="19"/>
        </w:rPr>
        <w:t xml:space="preserve">Limitation: </w:t>
      </w:r>
      <w:r>
        <w:rPr>
          <w:sz w:val="19"/>
        </w:rPr>
        <w:t>ICIS MEG Europe is a delivered price inclusive of freight. Decomposing the freight component from the chemical price is not straightforward. The +10% includes both cost-push from freight and any supply-side MEG shortage signals.</w:t>
      </w:r>
    </w:p>
    <w:p>
      <w:pPr>
        <w:pStyle w:val="ListBullet"/>
      </w:pPr>
      <w:r>
        <w:rPr>
          <w:sz w:val="21"/>
        </w:rPr>
        <w:t>REFERENCE ONLY: Freightos FBX Shanghai–Europe freight rate +173%</w:t>
      </w:r>
    </w:p>
    <w:p>
      <w:pPr>
        <w:ind w:left="567"/>
      </w:pPr>
      <w:r>
        <w:rPr>
          <w:b/>
          <w:sz w:val="19"/>
        </w:rPr>
        <w:t>Source: Freightos Baltic Index (FBX), January 2024 vs December 2023</w:t>
      </w:r>
    </w:p>
    <w:p>
      <w:pPr>
        <w:ind w:left="567"/>
      </w:pPr>
      <w:r>
        <w:rPr>
          <w:sz w:val="19"/>
        </w:rPr>
        <w:t>Freightos Baltic Index (FBX01: Global) rose from approximately $1,500/FEU (November 2023) to $4,200/FEU (January 2024), +173%. This is a spot rate index for 40ft containers. Freightos is a digital freight marketplace; FBX is published daily and widely used as a real-time freight rate indicator.</w:t>
      </w:r>
    </w:p>
    <w:p>
      <w:pPr>
        <w:ind w:left="567"/>
      </w:pPr>
      <w:r>
        <w:rPr>
          <w:b/>
          <w:sz w:val="19"/>
        </w:rPr>
        <w:t xml:space="preserve">Operationalisation: </w:t>
      </w:r>
      <w:r>
        <w:rPr>
          <w:sz w:val="19"/>
        </w:rPr>
        <w:t>NOT used as a CGE validation metric — spot freight rates are not comparable to CGE equilibrium sector prices. Used as input: freight_multiplier = 1 + 1.73 = 2.73, injecting cost-push via SEA_FREIGHT_SHARE per sector.</w:t>
      </w:r>
    </w:p>
    <w:p>
      <w:pPr>
        <w:ind w:left="567"/>
      </w:pPr>
      <w:r>
        <w:rPr>
          <w:b/>
          <w:sz w:val="19"/>
        </w:rPr>
        <w:t xml:space="preserve">Limitation: </w:t>
      </w:r>
      <w:r>
        <w:rPr>
          <w:sz w:val="19"/>
        </w:rPr>
        <w:t>Spot rates cannot be directly compared to equilibrium prices because: (1) most shippers use contracted rates; (2) the CGE outputs equilibrium sector prices, not shipping indices.</w:t>
      </w:r>
    </w:p>
    <w:p>
      <w:pPr>
        <w:pStyle w:val="ListBullet"/>
      </w:pPr>
      <w:r>
        <w:rPr>
          <w:sz w:val="21"/>
        </w:rPr>
        <w:t>UK synthetic apparel imports from NON-EU: −21% to −26% (Jan–Mar 2024)</w:t>
      </w:r>
    </w:p>
    <w:p>
      <w:pPr>
        <w:ind w:left="567"/>
      </w:pPr>
      <w:r>
        <w:rPr>
          <w:b/>
          <w:sz w:val="19"/>
        </w:rPr>
        <w:t>Source: HMRC OTS API, Non-EU synthetic apparel imports (HS61+62), monthly 2024 vs 2023</w:t>
      </w:r>
    </w:p>
    <w:p>
      <w:pPr>
        <w:ind w:left="567"/>
      </w:pPr>
      <w:r>
        <w:rPr>
          <w:sz w:val="19"/>
        </w:rPr>
        <w:t>HMRC monthly data: NON-EU synthetic apparel Jan 2024 vs Jan 2023 = −21.4%; Feb 2024 vs Feb 2023 = −26.3%; Mar 2024 vs Mar 2023 = −24.7%; H1 2024 vs H1 2023 = −15.6%. These are real customs statistics from the HMRC OTS API, accessed 2026-04-17. Non-EU sourcing proxy covers China, Bangladesh, Vietnam, India.</w:t>
      </w:r>
    </w:p>
    <w:p>
      <w:pPr>
        <w:ind w:left="567"/>
      </w:pPr>
      <w:r>
        <w:rPr>
          <w:b/>
          <w:sz w:val="19"/>
        </w:rPr>
        <w:t xml:space="preserve">Operationalisation: </w:t>
      </w:r>
      <w:r>
        <w:rPr>
          <w:sz w:val="19"/>
        </w:rPr>
        <w:t>Not directly used in the primary comparison (compare_event does not currently include monthly import change metrics). Provides supporting evidence that import volumes fell consistently with model IO output drops.</w:t>
      </w:r>
    </w:p>
    <w:p>
      <w:pPr>
        <w:ind w:left="567"/>
      </w:pPr>
      <w:r>
        <w:rPr>
          <w:b/>
          <w:sz w:val="19"/>
        </w:rPr>
        <w:t xml:space="preserve">Limitation: </w:t>
      </w:r>
      <w:r>
        <w:rPr>
          <w:sz w:val="19"/>
        </w:rPr>
        <w:t>The import value decline reflects both volume and price changes. In early 2024, Chinese export prices fell slightly (overcapacity) while volumes fell due to shipping delays — the value decline understates the volume impact.</w:t>
      </w:r>
    </w:p>
    <w:p>
      <w:pPr>
        <w:pStyle w:val="ListBullet"/>
      </w:pPr>
      <w:r>
        <w:rPr>
          <w:sz w:val="21"/>
        </w:rPr>
        <w:t>Welfare loss £0.1–0.4bn (range)</w:t>
      </w:r>
    </w:p>
    <w:p>
      <w:pPr>
        <w:ind w:left="567"/>
      </w:pPr>
      <w:r>
        <w:rPr>
          <w:b/>
          <w:sz w:val="19"/>
        </w:rPr>
        <w:t>Source: UNCTAD Red Sea impact report January 2024; ICIS MEG price impact estimate</w:t>
      </w:r>
    </w:p>
    <w:p>
      <w:pPr>
        <w:ind w:left="567"/>
      </w:pPr>
      <w:r>
        <w:rPr>
          <w:sz w:val="19"/>
        </w:rPr>
        <w:t>UNCTAD Shipping Bulletin (January 2024) estimated an additional cost of $2–3bn globally per month from Red Sea rerouting. UK share proportional to UK imports from China/Asian sourcing (roughly 3% of EU/UK total): ~£0.06–0.09bn/month × 4 months = £0.24–0.36bn. Upper bound includes MEG/PTA price impact.</w:t>
      </w:r>
    </w:p>
    <w:p>
      <w:pPr>
        <w:ind w:left="567"/>
      </w:pPr>
      <w:r>
        <w:rPr>
          <w:b/>
          <w:sz w:val="19"/>
        </w:rPr>
        <w:t xml:space="preserve">Operationalisation: </w:t>
      </w:r>
      <w:r>
        <w:rPr>
          <w:sz w:val="19"/>
        </w:rPr>
        <w:t>Model gives £3.1bn, significantly above range (overestimated).</w:t>
      </w:r>
    </w:p>
    <w:p>
      <w:pPr>
        <w:ind w:left="567"/>
      </w:pPr>
      <w:r>
        <w:rPr>
          <w:b/>
          <w:sz w:val="19"/>
        </w:rPr>
        <w:t xml:space="preserve">Limitation: </w:t>
      </w:r>
      <w:r>
        <w:rPr>
          <w:sz w:val="19"/>
        </w:rPr>
        <w:t>Model welfare overestimate driven by high freight multiplier (2.73×) propagating through all import-intensive sectors. Most UK importers had contracted freight rates, insulating them from the full spot rate increase.</w:t>
      </w:r>
    </w:p>
    <w:p/>
    <w:p>
      <w:pPr>
        <w:pStyle w:val="Heading3"/>
      </w:pPr>
      <w:r>
        <w:t>Event V6: 2022 Shanghai COVID Lockdown</w:t>
      </w:r>
    </w:p>
    <w:p>
      <w:pPr>
        <w:jc w:val="both"/>
      </w:pPr>
      <w:r>
        <w:rPr>
          <w:b w:val="0"/>
          <w:i/>
          <w:sz w:val="20"/>
        </w:rPr>
        <w:t>Period: April–June 2022 (weeks 1–13)</w:t>
      </w:r>
    </w:p>
    <w:p>
      <w:pPr>
        <w:jc w:val="both"/>
      </w:pPr>
      <w:r>
        <w:rPr>
          <w:b/>
          <w:i w:val="0"/>
          <w:sz w:val="21"/>
        </w:rPr>
        <w:t>Primary data sources:</w:t>
      </w:r>
    </w:p>
    <w:p>
      <w:pPr>
        <w:pStyle w:val="ListBullet"/>
      </w:pPr>
      <w:r>
        <w:rPr>
          <w:sz w:val="21"/>
        </w:rPr>
        <w:t>NBS China: manufacturing PMI April 2022 = 47.4 (contraction, below 50)</w:t>
      </w:r>
    </w:p>
    <w:p>
      <w:pPr>
        <w:pStyle w:val="ListBullet"/>
      </w:pPr>
      <w:r>
        <w:rPr>
          <w:sz w:val="21"/>
        </w:rPr>
        <w:t>NBS China: industrial output textiles -4.3% April 2022 YoY</w:t>
      </w:r>
    </w:p>
    <w:p>
      <w:pPr>
        <w:pStyle w:val="ListBullet"/>
      </w:pPr>
      <w:r>
        <w:rPr>
          <w:sz w:val="21"/>
        </w:rPr>
        <w:t>Shanghai International Port Group: container throughput -26% April 2022</w:t>
      </w:r>
    </w:p>
    <w:p>
      <w:pPr>
        <w:pStyle w:val="ListBullet"/>
      </w:pPr>
      <w:r>
        <w:rPr>
          <w:sz w:val="21"/>
        </w:rPr>
        <w:t>China Customs: textile &amp; apparel exports -21% April 2022 YoY</w:t>
      </w:r>
    </w:p>
    <w:p>
      <w:pPr>
        <w:pStyle w:val="ListBullet"/>
      </w:pPr>
      <w:r>
        <w:rPr>
          <w:sz w:val="21"/>
        </w:rPr>
        <w:t>HMRC OTS API (2026-04-17): UK synthetic apparel from China +47% value, +14% volume full-year 2022 vs 2021 (price inflation dominated); Q2 2022 value +61%, volume +36% vs Q2 2021 — front-loading before lockdown, then energy cost pass-through</w:t>
      </w:r>
    </w:p>
    <w:p>
      <w:pPr>
        <w:pStyle w:val="ListBullet"/>
      </w:pPr>
      <w:r>
        <w:rPr>
          <w:sz w:val="21"/>
        </w:rPr>
        <w:t>ICIS: polyester staple fibre China domestic price -6% to -8% Q2 2022 (demand/supply imbalance)</w:t>
      </w:r>
    </w:p>
    <w:p>
      <w:pPr>
        <w:jc w:val="both"/>
      </w:pPr>
      <w:r>
        <w:rPr>
          <w:b/>
          <w:i w:val="0"/>
          <w:sz w:val="21"/>
        </w:rPr>
        <w:t>Model predictions:</w:t>
      </w:r>
    </w:p>
    <w:tbl>
      <w:tblPr>
        <w:tblStyle w:val="LightShading-Accent1"/>
        <w:tblW w:type="auto" w:w="0"/>
        <w:tblLook w:firstColumn="1" w:firstRow="1" w:lastColumn="0" w:lastRow="0" w:noHBand="0" w:noVBand="1" w:val="04A0"/>
      </w:tblPr>
      <w:tblGrid>
        <w:gridCol w:w="3022"/>
        <w:gridCol w:w="3022"/>
        <w:gridCol w:w="3022"/>
      </w:tblGrid>
      <w:tr>
        <w:tc>
          <w:tcPr>
            <w:tcW w:type="dxa" w:w="1984"/>
          </w:tcPr>
          <w:p>
            <w:r>
              <w:rPr>
                <w:b/>
                <w:sz w:val="18"/>
              </w:rPr>
              <w:t>Sector</w:t>
            </w:r>
          </w:p>
        </w:tc>
        <w:tc>
          <w:tcPr>
            <w:tcW w:type="dxa" w:w="1984"/>
          </w:tcPr>
          <w:p>
            <w:r>
              <w:rPr>
                <w:b/>
                <w:sz w:val="18"/>
              </w:rPr>
              <w:t>CGE Price Change (%)</w:t>
            </w:r>
          </w:p>
        </w:tc>
        <w:tc>
          <w:tcPr>
            <w:tcW w:type="dxa" w:w="1417"/>
          </w:tcPr>
          <w:p>
            <w:r>
              <w:rPr>
                <w:b/>
                <w:sz w:val="18"/>
              </w:rPr>
              <w:t>Direction</w:t>
            </w:r>
          </w:p>
        </w:tc>
      </w:tr>
      <w:tr>
        <w:tc>
          <w:tcPr>
            <w:tcW w:type="dxa" w:w="1984"/>
          </w:tcPr>
          <w:p>
            <w:r>
              <w:rPr>
                <w:sz w:val="18"/>
              </w:rPr>
              <w:t>Oil</w:t>
            </w:r>
          </w:p>
        </w:tc>
        <w:tc>
          <w:tcPr>
            <w:tcW w:type="dxa" w:w="1984"/>
          </w:tcPr>
          <w:p>
            <w:r>
              <w:rPr>
                <w:sz w:val="18"/>
              </w:rPr>
              <w:t>+0.00%</w:t>
            </w:r>
          </w:p>
        </w:tc>
        <w:tc>
          <w:tcPr>
            <w:tcW w:type="dxa" w:w="1417"/>
          </w:tcPr>
          <w:p>
            <w:r>
              <w:rPr>
                <w:sz w:val="18"/>
              </w:rPr>
              <w:t>→ Stable</w:t>
            </w:r>
          </w:p>
        </w:tc>
      </w:tr>
      <w:tr>
        <w:tc>
          <w:tcPr>
            <w:tcW w:type="dxa" w:w="1984"/>
          </w:tcPr>
          <w:p>
            <w:r>
              <w:rPr>
                <w:sz w:val="18"/>
              </w:rPr>
              <w:t>Chemical</w:t>
            </w:r>
          </w:p>
        </w:tc>
        <w:tc>
          <w:tcPr>
            <w:tcW w:type="dxa" w:w="1984"/>
          </w:tcPr>
          <w:p>
            <w:r>
              <w:rPr>
                <w:sz w:val="18"/>
              </w:rPr>
              <w:t>+2.31%</w:t>
            </w:r>
          </w:p>
        </w:tc>
        <w:tc>
          <w:tcPr>
            <w:tcW w:type="dxa" w:w="1417"/>
          </w:tcPr>
          <w:p>
            <w:r>
              <w:rPr>
                <w:sz w:val="18"/>
              </w:rPr>
              <w:t>↑ Rise</w:t>
            </w:r>
          </w:p>
        </w:tc>
      </w:tr>
      <w:tr>
        <w:tc>
          <w:tcPr>
            <w:tcW w:type="dxa" w:w="1984"/>
          </w:tcPr>
          <w:p>
            <w:r>
              <w:rPr>
                <w:sz w:val="18"/>
              </w:rPr>
              <w:t>PTA</w:t>
            </w:r>
          </w:p>
        </w:tc>
        <w:tc>
          <w:tcPr>
            <w:tcW w:type="dxa" w:w="1984"/>
          </w:tcPr>
          <w:p>
            <w:r>
              <w:rPr>
                <w:sz w:val="18"/>
              </w:rPr>
              <w:t>+9.18%</w:t>
            </w:r>
          </w:p>
        </w:tc>
        <w:tc>
          <w:tcPr>
            <w:tcW w:type="dxa" w:w="1417"/>
          </w:tcPr>
          <w:p>
            <w:r>
              <w:rPr>
                <w:sz w:val="18"/>
              </w:rPr>
              <w:t>↑ Rise</w:t>
            </w:r>
          </w:p>
        </w:tc>
      </w:tr>
      <w:tr>
        <w:tc>
          <w:tcPr>
            <w:tcW w:type="dxa" w:w="1984"/>
          </w:tcPr>
          <w:p>
            <w:r>
              <w:rPr>
                <w:sz w:val="18"/>
              </w:rPr>
              <w:t>PET</w:t>
            </w:r>
          </w:p>
        </w:tc>
        <w:tc>
          <w:tcPr>
            <w:tcW w:type="dxa" w:w="1984"/>
          </w:tcPr>
          <w:p>
            <w:r>
              <w:rPr>
                <w:sz w:val="18"/>
              </w:rPr>
              <w:t>+6.49%</w:t>
            </w:r>
          </w:p>
        </w:tc>
        <w:tc>
          <w:tcPr>
            <w:tcW w:type="dxa" w:w="1417"/>
          </w:tcPr>
          <w:p>
            <w:r>
              <w:rPr>
                <w:sz w:val="18"/>
              </w:rPr>
              <w:t>↑ Rise</w:t>
            </w:r>
          </w:p>
        </w:tc>
      </w:tr>
      <w:tr>
        <w:tc>
          <w:tcPr>
            <w:tcW w:type="dxa" w:w="1984"/>
          </w:tcPr>
          <w:p>
            <w:r>
              <w:rPr>
                <w:sz w:val="18"/>
              </w:rPr>
              <w:t>Fabric</w:t>
            </w:r>
          </w:p>
        </w:tc>
        <w:tc>
          <w:tcPr>
            <w:tcW w:type="dxa" w:w="1984"/>
          </w:tcPr>
          <w:p>
            <w:r>
              <w:rPr>
                <w:sz w:val="18"/>
              </w:rPr>
              <w:t>+0.63%</w:t>
            </w:r>
          </w:p>
        </w:tc>
        <w:tc>
          <w:tcPr>
            <w:tcW w:type="dxa" w:w="1417"/>
          </w:tcPr>
          <w:p>
            <w:r>
              <w:rPr>
                <w:sz w:val="18"/>
              </w:rPr>
              <w:t>→ Stable</w:t>
            </w:r>
          </w:p>
        </w:tc>
      </w:tr>
      <w:tr>
        <w:tc>
          <w:tcPr>
            <w:tcW w:type="dxa" w:w="1984"/>
          </w:tcPr>
          <w:p>
            <w:r>
              <w:rPr>
                <w:sz w:val="18"/>
              </w:rPr>
              <w:t>Garment</w:t>
            </w:r>
          </w:p>
        </w:tc>
        <w:tc>
          <w:tcPr>
            <w:tcW w:type="dxa" w:w="1984"/>
          </w:tcPr>
          <w:p>
            <w:r>
              <w:rPr>
                <w:sz w:val="18"/>
              </w:rPr>
              <w:t>+1.89%</w:t>
            </w:r>
          </w:p>
        </w:tc>
        <w:tc>
          <w:tcPr>
            <w:tcW w:type="dxa" w:w="1417"/>
          </w:tcPr>
          <w:p>
            <w:r>
              <w:rPr>
                <w:sz w:val="18"/>
              </w:rPr>
              <w:t>↑ Rise</w:t>
            </w:r>
          </w:p>
        </w:tc>
      </w:tr>
      <w:tr>
        <w:tc>
          <w:tcPr>
            <w:tcW w:type="dxa" w:w="1984"/>
          </w:tcPr>
          <w:p>
            <w:r>
              <w:rPr>
                <w:sz w:val="18"/>
              </w:rPr>
              <w:t>Wholesale</w:t>
            </w:r>
          </w:p>
        </w:tc>
        <w:tc>
          <w:tcPr>
            <w:tcW w:type="dxa" w:w="1984"/>
          </w:tcPr>
          <w:p>
            <w:r>
              <w:rPr>
                <w:sz w:val="18"/>
              </w:rPr>
              <w:t>+2.41%</w:t>
            </w:r>
          </w:p>
        </w:tc>
        <w:tc>
          <w:tcPr>
            <w:tcW w:type="dxa" w:w="1417"/>
          </w:tcPr>
          <w:p>
            <w:r>
              <w:rPr>
                <w:sz w:val="18"/>
              </w:rPr>
              <w:t>↑ Rise</w:t>
            </w:r>
          </w:p>
        </w:tc>
      </w:tr>
      <w:tr>
        <w:tc>
          <w:tcPr>
            <w:tcW w:type="dxa" w:w="1984"/>
          </w:tcPr>
          <w:p>
            <w:r>
              <w:rPr>
                <w:sz w:val="18"/>
              </w:rPr>
              <w:t>Retail</w:t>
            </w:r>
          </w:p>
        </w:tc>
        <w:tc>
          <w:tcPr>
            <w:tcW w:type="dxa" w:w="1984"/>
          </w:tcPr>
          <w:p>
            <w:r>
              <w:rPr>
                <w:sz w:val="18"/>
              </w:rPr>
              <w:t>+0.00%</w:t>
            </w:r>
          </w:p>
        </w:tc>
        <w:tc>
          <w:tcPr>
            <w:tcW w:type="dxa" w:w="1417"/>
          </w:tcPr>
          <w:p>
            <w:r>
              <w:rPr>
                <w:sz w:val="18"/>
              </w:rPr>
              <w:t>→ Stable</w:t>
            </w:r>
          </w:p>
        </w:tc>
      </w:tr>
    </w:tbl>
    <w:p>
      <w:pPr>
        <w:jc w:val="both"/>
      </w:pPr>
      <w:r>
        <w:rPr>
          <w:b w:val="0"/>
          <w:i/>
          <w:sz w:val="19"/>
        </w:rPr>
        <w:t>Welfare change: £-0.758bn</w:t>
      </w:r>
    </w:p>
    <w:p/>
    <w:p>
      <w:pPr>
        <w:jc w:val="both"/>
      </w:pPr>
      <w:r>
        <w:rPr>
          <w:b/>
          <w:i w:val="0"/>
          <w:sz w:val="21"/>
        </w:rPr>
        <w:t>Comparison: Model vs Observed</w:t>
      </w:r>
    </w:p>
    <w:tbl>
      <w:tblPr>
        <w:tblStyle w:val="LightShading-Accent1"/>
        <w:tblW w:type="auto" w:w="0"/>
        <w:tblLook w:firstColumn="1" w:firstRow="1" w:lastColumn="0" w:lastRow="0" w:noHBand="0" w:noVBand="1" w:val="04A0"/>
      </w:tblPr>
      <w:tblGrid>
        <w:gridCol w:w="1511"/>
        <w:gridCol w:w="1511"/>
        <w:gridCol w:w="1511"/>
        <w:gridCol w:w="1511"/>
        <w:gridCol w:w="1511"/>
        <w:gridCol w:w="1511"/>
      </w:tblGrid>
      <w:tr>
        <w:tc>
          <w:tcPr>
            <w:tcW w:type="dxa" w:w="2551"/>
          </w:tcPr>
          <w:p>
            <w:r>
              <w:rPr>
                <w:b/>
                <w:sz w:val="18"/>
              </w:rPr>
              <w:t>Observable</w:t>
            </w:r>
          </w:p>
        </w:tc>
        <w:tc>
          <w:tcPr>
            <w:tcW w:type="dxa" w:w="1134"/>
          </w:tcPr>
          <w:p>
            <w:r>
              <w:rPr>
                <w:b/>
                <w:sz w:val="18"/>
              </w:rPr>
              <w:t>Observed</w:t>
            </w:r>
          </w:p>
        </w:tc>
        <w:tc>
          <w:tcPr>
            <w:tcW w:type="dxa" w:w="1020"/>
          </w:tcPr>
          <w:p>
            <w:r>
              <w:rPr>
                <w:b/>
                <w:sz w:val="18"/>
              </w:rPr>
              <w:t>Model</w:t>
            </w:r>
          </w:p>
        </w:tc>
        <w:tc>
          <w:tcPr>
            <w:tcW w:type="dxa" w:w="1020"/>
          </w:tcPr>
          <w:p>
            <w:r>
              <w:rPr>
                <w:b/>
                <w:sz w:val="18"/>
              </w:rPr>
              <w:t>Abs_Error</w:t>
            </w:r>
          </w:p>
        </w:tc>
        <w:tc>
          <w:tcPr>
            <w:tcW w:type="dxa" w:w="1020"/>
          </w:tcPr>
          <w:p>
            <w:r>
              <w:rPr>
                <w:b/>
                <w:sz w:val="18"/>
              </w:rPr>
              <w:t>Error_%</w:t>
            </w:r>
          </w:p>
        </w:tc>
        <w:tc>
          <w:tcPr>
            <w:tcW w:type="dxa" w:w="1134"/>
          </w:tcPr>
          <w:p>
            <w:r>
              <w:rPr>
                <w:b/>
                <w:sz w:val="18"/>
              </w:rPr>
              <w:t>Direction_OK</w:t>
            </w:r>
          </w:p>
        </w:tc>
      </w:tr>
      <w:tr>
        <w:tc>
          <w:tcPr>
            <w:tcW w:type="dxa" w:w="2551"/>
          </w:tcPr>
          <w:p>
            <w:r>
              <w:rPr>
                <w:sz w:val="18"/>
              </w:rPr>
              <w:t>Price rise % at PTA_Production</w:t>
            </w:r>
          </w:p>
        </w:tc>
        <w:tc>
          <w:tcPr>
            <w:tcW w:type="dxa" w:w="1134"/>
          </w:tcPr>
          <w:p>
            <w:r>
              <w:rPr>
                <w:sz w:val="18"/>
              </w:rPr>
              <w:t>8.0</w:t>
            </w:r>
          </w:p>
        </w:tc>
        <w:tc>
          <w:tcPr>
            <w:tcW w:type="dxa" w:w="1020"/>
          </w:tcPr>
          <w:p>
            <w:r>
              <w:rPr>
                <w:sz w:val="18"/>
              </w:rPr>
              <w:t>9.2</w:t>
            </w:r>
          </w:p>
        </w:tc>
        <w:tc>
          <w:tcPr>
            <w:tcW w:type="dxa" w:w="1020"/>
          </w:tcPr>
          <w:p>
            <w:r>
              <w:rPr>
                <w:sz w:val="18"/>
              </w:rPr>
              <w:t>1.2</w:t>
            </w:r>
          </w:p>
        </w:tc>
        <w:tc>
          <w:tcPr>
            <w:tcW w:type="dxa" w:w="1020"/>
          </w:tcPr>
          <w:p>
            <w:r>
              <w:rPr>
                <w:sz w:val="18"/>
              </w:rPr>
              <w:t>14.7</w:t>
            </w:r>
          </w:p>
        </w:tc>
        <w:tc>
          <w:tcPr>
            <w:tcW w:type="dxa" w:w="1134"/>
          </w:tcPr>
          <w:p>
            <w:r>
              <w:rPr>
                <w:sz w:val="18"/>
              </w:rPr>
              <w:t>True</w:t>
            </w:r>
          </w:p>
        </w:tc>
      </w:tr>
      <w:tr>
        <w:tc>
          <w:tcPr>
            <w:tcW w:type="dxa" w:w="2551"/>
          </w:tcPr>
          <w:p>
            <w:r>
              <w:rPr>
                <w:sz w:val="18"/>
              </w:rPr>
              <w:t>Welfare loss (£bn)</w:t>
            </w:r>
          </w:p>
        </w:tc>
        <w:tc>
          <w:tcPr>
            <w:tcW w:type="dxa" w:w="1134"/>
          </w:tcPr>
          <w:p>
            <w:r>
              <w:rPr>
                <w:sz w:val="18"/>
              </w:rPr>
              <w:t>0.3–0.9 (mid 0.6)</w:t>
            </w:r>
          </w:p>
        </w:tc>
        <w:tc>
          <w:tcPr>
            <w:tcW w:type="dxa" w:w="1020"/>
          </w:tcPr>
          <w:p>
            <w:r>
              <w:rPr>
                <w:sz w:val="18"/>
              </w:rPr>
              <w:t>0.76</w:t>
            </w:r>
          </w:p>
        </w:tc>
        <w:tc>
          <w:tcPr>
            <w:tcW w:type="dxa" w:w="1020"/>
          </w:tcPr>
          <w:p>
            <w:r>
              <w:rPr>
                <w:sz w:val="18"/>
              </w:rPr>
              <w:t>0.16</w:t>
            </w:r>
          </w:p>
        </w:tc>
        <w:tc>
          <w:tcPr>
            <w:tcW w:type="dxa" w:w="1020"/>
          </w:tcPr>
          <w:p>
            <w:r>
              <w:rPr>
                <w:sz w:val="18"/>
              </w:rPr>
              <w:t>26.3</w:t>
            </w:r>
          </w:p>
        </w:tc>
        <w:tc>
          <w:tcPr>
            <w:tcW w:type="dxa" w:w="1134"/>
          </w:tcPr>
          <w:p>
            <w:r>
              <w:rPr>
                <w:sz w:val="18"/>
              </w:rPr>
              <w:t>True</w:t>
            </w:r>
          </w:p>
        </w:tc>
      </w:tr>
      <w:tr>
        <w:tc>
          <w:tcPr>
            <w:tcW w:type="dxa" w:w="2551"/>
          </w:tcPr>
          <w:p>
            <w:r>
              <w:rPr>
                <w:sz w:val="18"/>
              </w:rPr>
              <w:t>Port output change % at UK_Wholesale</w:t>
            </w:r>
          </w:p>
        </w:tc>
        <w:tc>
          <w:tcPr>
            <w:tcW w:type="dxa" w:w="1134"/>
          </w:tcPr>
          <w:p>
            <w:r>
              <w:rPr>
                <w:sz w:val="18"/>
              </w:rPr>
              <w:t>-26.0</w:t>
            </w:r>
          </w:p>
        </w:tc>
        <w:tc>
          <w:tcPr>
            <w:tcW w:type="dxa" w:w="1020"/>
          </w:tcPr>
          <w:p>
            <w:r>
              <w:rPr>
                <w:sz w:val="18"/>
              </w:rPr>
              <w:t>-10.0</w:t>
            </w:r>
          </w:p>
        </w:tc>
        <w:tc>
          <w:tcPr>
            <w:tcW w:type="dxa" w:w="1020"/>
          </w:tcPr>
          <w:p>
            <w:r>
              <w:rPr>
                <w:sz w:val="18"/>
              </w:rPr>
              <w:t>16.0</w:t>
            </w:r>
          </w:p>
        </w:tc>
        <w:tc>
          <w:tcPr>
            <w:tcW w:type="dxa" w:w="1020"/>
          </w:tcPr>
          <w:p>
            <w:r>
              <w:rPr>
                <w:sz w:val="18"/>
              </w:rPr>
              <w:t>61.5</w:t>
            </w:r>
          </w:p>
        </w:tc>
        <w:tc>
          <w:tcPr>
            <w:tcW w:type="dxa" w:w="1134"/>
          </w:tcPr>
          <w:p>
            <w:r>
              <w:rPr>
                <w:sz w:val="18"/>
              </w:rPr>
              <w:t>True</w:t>
            </w:r>
          </w:p>
        </w:tc>
      </w:tr>
    </w:tbl>
    <w:p/>
    <w:p>
      <w:pPr>
        <w:jc w:val="both"/>
      </w:pPr>
      <w:r>
        <w:rPr>
          <w:b/>
          <w:i w:val="0"/>
          <w:sz w:val="21"/>
        </w:rPr>
        <w:t>Data source detail by observable:</w:t>
      </w:r>
    </w:p>
    <w:p>
      <w:pPr>
        <w:pStyle w:val="ListBullet"/>
      </w:pPr>
      <w:r>
        <w:rPr>
          <w:sz w:val="21"/>
        </w:rPr>
        <w:t>PTA China domestic price +8% (PTA_Production sector)</w:t>
      </w:r>
    </w:p>
    <w:p>
      <w:pPr>
        <w:ind w:left="567"/>
      </w:pPr>
      <w:r>
        <w:rPr>
          <w:b/>
          <w:sz w:val="19"/>
        </w:rPr>
        <w:t>Source: ICIS PTA China domestic spot price, Q2 2022</w:t>
      </w:r>
    </w:p>
    <w:p>
      <w:pPr>
        <w:ind w:left="567"/>
      </w:pPr>
      <w:r>
        <w:rPr>
          <w:sz w:val="19"/>
        </w:rPr>
        <w:t>ICIS reports PTA domestic prices in China had a small rise then decline in Q2 2022: net approximately +5–10% (midpoint +8%) due to the lockdown's contradictory effects — reduced supply from Jiangsu cluster, but also reduced downstream polyester demand as factories closed. The net price effect was modest. ICIS PTA China is the benchmark for the Asian PTA market.</w:t>
      </w:r>
    </w:p>
    <w:p>
      <w:pPr>
        <w:ind w:left="567"/>
      </w:pPr>
      <w:r>
        <w:rPr>
          <w:b/>
          <w:sz w:val="19"/>
        </w:rPr>
        <w:t xml:space="preserve">Operationalisation: </w:t>
      </w:r>
      <w:r>
        <w:rPr>
          <w:sz w:val="19"/>
        </w:rPr>
        <w:t>Observed 'max_price_rise_pct' = 8% at PTA_Production. Model gives +9.2% (error +1.2pp, within 15%). cge_supply[2] = 0.90 (10% global supply loss).</w:t>
      </w:r>
    </w:p>
    <w:p>
      <w:pPr>
        <w:ind w:left="567"/>
      </w:pPr>
      <w:r>
        <w:rPr>
          <w:b/>
          <w:sz w:val="19"/>
        </w:rPr>
        <w:t xml:space="preserve">Limitation: </w:t>
      </w:r>
      <w:r>
        <w:rPr>
          <w:sz w:val="19"/>
        </w:rPr>
        <w:t>The small and uncertain price signal (+5% to +10%) makes this a low-precision validation. The lockdown had simultaneous supply and demand effects that partially cancelled, making the net price ambiguous.</w:t>
      </w:r>
    </w:p>
    <w:p>
      <w:pPr>
        <w:pStyle w:val="ListBullet"/>
      </w:pPr>
      <w:r>
        <w:rPr>
          <w:sz w:val="21"/>
        </w:rPr>
        <w:t>Shanghai port throughput −26% (UK_Wholesale sector proxy)</w:t>
      </w:r>
    </w:p>
    <w:p>
      <w:pPr>
        <w:ind w:left="567"/>
      </w:pPr>
      <w:r>
        <w:rPr>
          <w:b/>
          <w:sz w:val="19"/>
        </w:rPr>
        <w:t>Source: Shanghai International Port Group (SIPG) monthly statistics, April 2022</w:t>
      </w:r>
    </w:p>
    <w:p>
      <w:pPr>
        <w:ind w:left="567"/>
      </w:pPr>
      <w:r>
        <w:rPr>
          <w:sz w:val="19"/>
        </w:rPr>
        <w:t>SIPG reported container throughput of 3.0m TEU in April 2022 vs 4.1m TEU in April 2021 = −26.8% year-on-year. Shanghai is the world's busiest container port (approximately 47m TEU/year). This provides a physical throughput benchmark for the logistics constraint in the model.</w:t>
      </w:r>
    </w:p>
    <w:p>
      <w:pPr>
        <w:ind w:left="567"/>
      </w:pPr>
      <w:r>
        <w:rPr>
          <w:b/>
          <w:sz w:val="19"/>
        </w:rPr>
        <w:t xml:space="preserve">Operationalisation: </w:t>
      </w:r>
      <w:r>
        <w:rPr>
          <w:sz w:val="19"/>
        </w:rPr>
        <w:t>Used as proxy for the UK_Wholesale IO output drop. io_shock_schedule: sector 6 (Wholesale) disrupted −8% from week 2. Model IO wholesale output drop = −10% (vs observed −26%, −16pp error, 61.5% relative error). The model underestimates because it represents global logistics, not just Shanghai port.</w:t>
      </w:r>
    </w:p>
    <w:p>
      <w:pPr>
        <w:ind w:left="567"/>
      </w:pPr>
      <w:r>
        <w:rPr>
          <w:b/>
          <w:sz w:val="19"/>
        </w:rPr>
        <w:t xml:space="preserve">Limitation: </w:t>
      </w:r>
      <w:r>
        <w:rPr>
          <w:sz w:val="19"/>
        </w:rPr>
        <w:t>Shanghai port throughput is a Chinese production metric, not a direct UK wholesale sector output measure. The comparison is approximate. UK wholesale disruption from Shanghai port depends on what fraction of UK textile imports use Shanghai vs other ports (Ningbo, Shenzhen).</w:t>
      </w:r>
    </w:p>
    <w:p>
      <w:pPr>
        <w:pStyle w:val="ListBullet"/>
      </w:pPr>
      <w:r>
        <w:rPr>
          <w:sz w:val="21"/>
        </w:rPr>
        <w:t>Welfare loss £0.3–0.9bn (range)</w:t>
      </w:r>
    </w:p>
    <w:p>
      <w:pPr>
        <w:ind w:left="567"/>
      </w:pPr>
      <w:r>
        <w:rPr>
          <w:b/>
          <w:sz w:val="19"/>
        </w:rPr>
        <w:t>Source: NBS China industrial output −4.3% textiles April 2022 (NBS); UK import value changes (HMRC)</w:t>
      </w:r>
    </w:p>
    <w:p>
      <w:pPr>
        <w:ind w:left="567"/>
      </w:pPr>
      <w:r>
        <w:rPr>
          <w:sz w:val="19"/>
        </w:rPr>
        <w:t>HMRC OTS API shows UK synthetic apparel full-year 2022 value +47% vs 2021 (dominated by price inflation). Q2 2022 shows +61% value, +36% volume vs Q2 2021 — front-loading before lockdown then energy cost pass-through. Welfare estimate based on temporary supply disruption × UK consumer surplus loss. Model gives £0.76bn, within the £0.3–0.9bn range.</w:t>
      </w:r>
    </w:p>
    <w:p>
      <w:pPr>
        <w:ind w:left="567"/>
      </w:pPr>
      <w:r>
        <w:rPr>
          <w:b/>
          <w:sz w:val="19"/>
        </w:rPr>
        <w:t xml:space="preserve">Operationalisation: </w:t>
      </w:r>
      <w:r>
        <w:rPr>
          <w:sz w:val="19"/>
        </w:rPr>
        <w:t>CGE welfare = £0.76bn using period-average price method.</w:t>
      </w:r>
    </w:p>
    <w:p>
      <w:pPr>
        <w:ind w:left="567"/>
      </w:pPr>
      <w:r>
        <w:rPr>
          <w:b/>
          <w:sz w:val="19"/>
        </w:rPr>
        <w:t xml:space="preserve">Limitation: </w:t>
      </w:r>
      <w:r>
        <w:rPr>
          <w:sz w:val="19"/>
        </w:rPr>
        <w:t>UK welfare from Shanghai lockdown is difficult to isolate from the concurrent Russia-Ukraine energy shock (both occurred in early-mid 2022). Model runs them as separate events.</w:t>
      </w:r>
    </w:p>
    <w:p/>
    <w:p>
      <w:pPr>
        <w:pStyle w:val="Heading3"/>
      </w:pPr>
      <w:r>
        <w:t>Event V7: 2022 Ukraine War / Global Energy Price Spike</w:t>
      </w:r>
    </w:p>
    <w:p>
      <w:pPr>
        <w:jc w:val="both"/>
      </w:pPr>
      <w:r>
        <w:rPr>
          <w:b w:val="0"/>
          <w:i/>
          <w:sz w:val="20"/>
        </w:rPr>
        <w:t>Period: February–June 2022</w:t>
      </w:r>
    </w:p>
    <w:p>
      <w:pPr>
        <w:jc w:val="both"/>
      </w:pPr>
      <w:r>
        <w:rPr>
          <w:b/>
          <w:i w:val="0"/>
          <w:sz w:val="21"/>
        </w:rPr>
        <w:t>Primary data sources:</w:t>
      </w:r>
    </w:p>
    <w:p>
      <w:pPr>
        <w:pStyle w:val="ListBullet"/>
      </w:pPr>
      <w:r>
        <w:rPr>
          <w:sz w:val="21"/>
        </w:rPr>
        <w:t>EIA: Brent crude oil peaked at $127.98/barrel on 8 March 2022</w:t>
      </w:r>
    </w:p>
    <w:p>
      <w:pPr>
        <w:pStyle w:val="ListBullet"/>
      </w:pPr>
      <w:r>
        <w:rPr>
          <w:sz w:val="21"/>
        </w:rPr>
        <w:t>EIA: Brent average Jan 2022 = $83/barrel → March peak = +54%</w:t>
      </w:r>
    </w:p>
    <w:p>
      <w:pPr>
        <w:pStyle w:val="ListBullet"/>
      </w:pPr>
      <w:r>
        <w:rPr>
          <w:sz w:val="21"/>
        </w:rPr>
        <w:t>EIA: Average Brent price 2022 = $101/barrel vs $71/barrel in 2021 (+42%)</w:t>
      </w:r>
    </w:p>
    <w:p>
      <w:pPr>
        <w:pStyle w:val="ListBullet"/>
      </w:pPr>
      <w:r>
        <w:rPr>
          <w:sz w:val="21"/>
        </w:rPr>
        <w:t>ICIS: MEG China port price +18-22% H1 2022 (energy cost inflation)</w:t>
      </w:r>
    </w:p>
    <w:p>
      <w:pPr>
        <w:pStyle w:val="ListBullet"/>
      </w:pPr>
      <w:r>
        <w:rPr>
          <w:sz w:val="21"/>
        </w:rPr>
        <w:t>ICIS: PTA China domestic price +10-15% H1 2022</w:t>
      </w:r>
    </w:p>
    <w:p>
      <w:pPr>
        <w:pStyle w:val="ListBullet"/>
      </w:pPr>
      <w:r>
        <w:rPr>
          <w:sz w:val="21"/>
        </w:rPr>
        <w:t>ICIS: Polyester staple fibre China export price +12% H1 2022</w:t>
      </w:r>
    </w:p>
    <w:p>
      <w:pPr>
        <w:jc w:val="both"/>
      </w:pPr>
      <w:r>
        <w:rPr>
          <w:b/>
          <w:i w:val="0"/>
          <w:sz w:val="21"/>
        </w:rPr>
        <w:t>Model predictions:</w:t>
      </w:r>
    </w:p>
    <w:tbl>
      <w:tblPr>
        <w:tblStyle w:val="LightShading-Accent1"/>
        <w:tblW w:type="auto" w:w="0"/>
        <w:tblLook w:firstColumn="1" w:firstRow="1" w:lastColumn="0" w:lastRow="0" w:noHBand="0" w:noVBand="1" w:val="04A0"/>
      </w:tblPr>
      <w:tblGrid>
        <w:gridCol w:w="3022"/>
        <w:gridCol w:w="3022"/>
        <w:gridCol w:w="3022"/>
      </w:tblGrid>
      <w:tr>
        <w:tc>
          <w:tcPr>
            <w:tcW w:type="dxa" w:w="1984"/>
          </w:tcPr>
          <w:p>
            <w:r>
              <w:rPr>
                <w:b/>
                <w:sz w:val="18"/>
              </w:rPr>
              <w:t>Sector</w:t>
            </w:r>
          </w:p>
        </w:tc>
        <w:tc>
          <w:tcPr>
            <w:tcW w:type="dxa" w:w="1984"/>
          </w:tcPr>
          <w:p>
            <w:r>
              <w:rPr>
                <w:b/>
                <w:sz w:val="18"/>
              </w:rPr>
              <w:t>CGE Price Change (%)</w:t>
            </w:r>
          </w:p>
        </w:tc>
        <w:tc>
          <w:tcPr>
            <w:tcW w:type="dxa" w:w="1417"/>
          </w:tcPr>
          <w:p>
            <w:r>
              <w:rPr>
                <w:b/>
                <w:sz w:val="18"/>
              </w:rPr>
              <w:t>Direction</w:t>
            </w:r>
          </w:p>
        </w:tc>
      </w:tr>
      <w:tr>
        <w:tc>
          <w:tcPr>
            <w:tcW w:type="dxa" w:w="1984"/>
          </w:tcPr>
          <w:p>
            <w:r>
              <w:rPr>
                <w:sz w:val="18"/>
              </w:rPr>
              <w:t>Oil</w:t>
            </w:r>
          </w:p>
        </w:tc>
        <w:tc>
          <w:tcPr>
            <w:tcW w:type="dxa" w:w="1984"/>
          </w:tcPr>
          <w:p>
            <w:r>
              <w:rPr>
                <w:sz w:val="18"/>
              </w:rPr>
              <w:t>+54.00%</w:t>
            </w:r>
          </w:p>
        </w:tc>
        <w:tc>
          <w:tcPr>
            <w:tcW w:type="dxa" w:w="1417"/>
          </w:tcPr>
          <w:p>
            <w:r>
              <w:rPr>
                <w:sz w:val="18"/>
              </w:rPr>
              <w:t>↑ Rise</w:t>
            </w:r>
          </w:p>
        </w:tc>
      </w:tr>
      <w:tr>
        <w:tc>
          <w:tcPr>
            <w:tcW w:type="dxa" w:w="1984"/>
          </w:tcPr>
          <w:p>
            <w:r>
              <w:rPr>
                <w:sz w:val="18"/>
              </w:rPr>
              <w:t>Chemical</w:t>
            </w:r>
          </w:p>
        </w:tc>
        <w:tc>
          <w:tcPr>
            <w:tcW w:type="dxa" w:w="1984"/>
          </w:tcPr>
          <w:p>
            <w:r>
              <w:rPr>
                <w:sz w:val="18"/>
              </w:rPr>
              <w:t>+2.93%</w:t>
            </w:r>
          </w:p>
        </w:tc>
        <w:tc>
          <w:tcPr>
            <w:tcW w:type="dxa" w:w="1417"/>
          </w:tcPr>
          <w:p>
            <w:r>
              <w:rPr>
                <w:sz w:val="18"/>
              </w:rPr>
              <w:t>↑ Rise</w:t>
            </w:r>
          </w:p>
        </w:tc>
      </w:tr>
      <w:tr>
        <w:tc>
          <w:tcPr>
            <w:tcW w:type="dxa" w:w="1984"/>
          </w:tcPr>
          <w:p>
            <w:r>
              <w:rPr>
                <w:sz w:val="18"/>
              </w:rPr>
              <w:t>PTA</w:t>
            </w:r>
          </w:p>
        </w:tc>
        <w:tc>
          <w:tcPr>
            <w:tcW w:type="dxa" w:w="1984"/>
          </w:tcPr>
          <w:p>
            <w:r>
              <w:rPr>
                <w:sz w:val="18"/>
              </w:rPr>
              <w:t>+9.18%</w:t>
            </w:r>
          </w:p>
        </w:tc>
        <w:tc>
          <w:tcPr>
            <w:tcW w:type="dxa" w:w="1417"/>
          </w:tcPr>
          <w:p>
            <w:r>
              <w:rPr>
                <w:sz w:val="18"/>
              </w:rPr>
              <w:t>↑ Rise</w:t>
            </w:r>
          </w:p>
        </w:tc>
      </w:tr>
      <w:tr>
        <w:tc>
          <w:tcPr>
            <w:tcW w:type="dxa" w:w="1984"/>
          </w:tcPr>
          <w:p>
            <w:r>
              <w:rPr>
                <w:sz w:val="18"/>
              </w:rPr>
              <w:t>PET</w:t>
            </w:r>
          </w:p>
        </w:tc>
        <w:tc>
          <w:tcPr>
            <w:tcW w:type="dxa" w:w="1984"/>
          </w:tcPr>
          <w:p>
            <w:r>
              <w:rPr>
                <w:sz w:val="18"/>
              </w:rPr>
              <w:t>+5.72%</w:t>
            </w:r>
          </w:p>
        </w:tc>
        <w:tc>
          <w:tcPr>
            <w:tcW w:type="dxa" w:w="1417"/>
          </w:tcPr>
          <w:p>
            <w:r>
              <w:rPr>
                <w:sz w:val="18"/>
              </w:rPr>
              <w:t>↑ Rise</w:t>
            </w:r>
          </w:p>
        </w:tc>
      </w:tr>
      <w:tr>
        <w:tc>
          <w:tcPr>
            <w:tcW w:type="dxa" w:w="1984"/>
          </w:tcPr>
          <w:p>
            <w:r>
              <w:rPr>
                <w:sz w:val="18"/>
              </w:rPr>
              <w:t>Fabric</w:t>
            </w:r>
          </w:p>
        </w:tc>
        <w:tc>
          <w:tcPr>
            <w:tcW w:type="dxa" w:w="1984"/>
          </w:tcPr>
          <w:p>
            <w:r>
              <w:rPr>
                <w:sz w:val="18"/>
              </w:rPr>
              <w:t>+1.62%</w:t>
            </w:r>
          </w:p>
        </w:tc>
        <w:tc>
          <w:tcPr>
            <w:tcW w:type="dxa" w:w="1417"/>
          </w:tcPr>
          <w:p>
            <w:r>
              <w:rPr>
                <w:sz w:val="18"/>
              </w:rPr>
              <w:t>↑ Rise</w:t>
            </w:r>
          </w:p>
        </w:tc>
      </w:tr>
      <w:tr>
        <w:tc>
          <w:tcPr>
            <w:tcW w:type="dxa" w:w="1984"/>
          </w:tcPr>
          <w:p>
            <w:r>
              <w:rPr>
                <w:sz w:val="18"/>
              </w:rPr>
              <w:t>Garment</w:t>
            </w:r>
          </w:p>
        </w:tc>
        <w:tc>
          <w:tcPr>
            <w:tcW w:type="dxa" w:w="1984"/>
          </w:tcPr>
          <w:p>
            <w:r>
              <w:rPr>
                <w:sz w:val="18"/>
              </w:rPr>
              <w:t>+0.93%</w:t>
            </w:r>
          </w:p>
        </w:tc>
        <w:tc>
          <w:tcPr>
            <w:tcW w:type="dxa" w:w="1417"/>
          </w:tcPr>
          <w:p>
            <w:r>
              <w:rPr>
                <w:sz w:val="18"/>
              </w:rPr>
              <w:t>→ Stable</w:t>
            </w:r>
          </w:p>
        </w:tc>
      </w:tr>
      <w:tr>
        <w:tc>
          <w:tcPr>
            <w:tcW w:type="dxa" w:w="1984"/>
          </w:tcPr>
          <w:p>
            <w:r>
              <w:rPr>
                <w:sz w:val="18"/>
              </w:rPr>
              <w:t>Wholesale</w:t>
            </w:r>
          </w:p>
        </w:tc>
        <w:tc>
          <w:tcPr>
            <w:tcW w:type="dxa" w:w="1984"/>
          </w:tcPr>
          <w:p>
            <w:r>
              <w:rPr>
                <w:sz w:val="18"/>
              </w:rPr>
              <w:t>+0.00%</w:t>
            </w:r>
          </w:p>
        </w:tc>
        <w:tc>
          <w:tcPr>
            <w:tcW w:type="dxa" w:w="1417"/>
          </w:tcPr>
          <w:p>
            <w:r>
              <w:rPr>
                <w:sz w:val="18"/>
              </w:rPr>
              <w:t>→ Stable</w:t>
            </w:r>
          </w:p>
        </w:tc>
      </w:tr>
      <w:tr>
        <w:tc>
          <w:tcPr>
            <w:tcW w:type="dxa" w:w="1984"/>
          </w:tcPr>
          <w:p>
            <w:r>
              <w:rPr>
                <w:sz w:val="18"/>
              </w:rPr>
              <w:t>Retail</w:t>
            </w:r>
          </w:p>
        </w:tc>
        <w:tc>
          <w:tcPr>
            <w:tcW w:type="dxa" w:w="1984"/>
          </w:tcPr>
          <w:p>
            <w:r>
              <w:rPr>
                <w:sz w:val="18"/>
              </w:rPr>
              <w:t>+0.00%</w:t>
            </w:r>
          </w:p>
        </w:tc>
        <w:tc>
          <w:tcPr>
            <w:tcW w:type="dxa" w:w="1417"/>
          </w:tcPr>
          <w:p>
            <w:r>
              <w:rPr>
                <w:sz w:val="18"/>
              </w:rPr>
              <w:t>→ Stable</w:t>
            </w:r>
          </w:p>
        </w:tc>
      </w:tr>
    </w:tbl>
    <w:p>
      <w:pPr>
        <w:jc w:val="both"/>
      </w:pPr>
      <w:r>
        <w:rPr>
          <w:b w:val="0"/>
          <w:i/>
          <w:sz w:val="19"/>
        </w:rPr>
        <w:t>Welfare change: £-0.414bn</w:t>
      </w:r>
    </w:p>
    <w:p/>
    <w:p>
      <w:pPr>
        <w:jc w:val="both"/>
      </w:pPr>
      <w:r>
        <w:rPr>
          <w:b/>
          <w:i w:val="0"/>
          <w:sz w:val="21"/>
        </w:rPr>
        <w:t>Comparison: Model vs Observed</w:t>
      </w:r>
    </w:p>
    <w:tbl>
      <w:tblPr>
        <w:tblStyle w:val="LightShading-Accent1"/>
        <w:tblW w:type="auto" w:w="0"/>
        <w:tblLook w:firstColumn="1" w:firstRow="1" w:lastColumn="0" w:lastRow="0" w:noHBand="0" w:noVBand="1" w:val="04A0"/>
      </w:tblPr>
      <w:tblGrid>
        <w:gridCol w:w="1511"/>
        <w:gridCol w:w="1511"/>
        <w:gridCol w:w="1511"/>
        <w:gridCol w:w="1511"/>
        <w:gridCol w:w="1511"/>
        <w:gridCol w:w="1511"/>
      </w:tblGrid>
      <w:tr>
        <w:tc>
          <w:tcPr>
            <w:tcW w:type="dxa" w:w="2551"/>
          </w:tcPr>
          <w:p>
            <w:r>
              <w:rPr>
                <w:b/>
                <w:sz w:val="18"/>
              </w:rPr>
              <w:t>Observable</w:t>
            </w:r>
          </w:p>
        </w:tc>
        <w:tc>
          <w:tcPr>
            <w:tcW w:type="dxa" w:w="1134"/>
          </w:tcPr>
          <w:p>
            <w:r>
              <w:rPr>
                <w:b/>
                <w:sz w:val="18"/>
              </w:rPr>
              <w:t>Observed</w:t>
            </w:r>
          </w:p>
        </w:tc>
        <w:tc>
          <w:tcPr>
            <w:tcW w:type="dxa" w:w="1020"/>
          </w:tcPr>
          <w:p>
            <w:r>
              <w:rPr>
                <w:b/>
                <w:sz w:val="18"/>
              </w:rPr>
              <w:t>Model</w:t>
            </w:r>
          </w:p>
        </w:tc>
        <w:tc>
          <w:tcPr>
            <w:tcW w:type="dxa" w:w="1020"/>
          </w:tcPr>
          <w:p>
            <w:r>
              <w:rPr>
                <w:b/>
                <w:sz w:val="18"/>
              </w:rPr>
              <w:t>Abs_Error</w:t>
            </w:r>
          </w:p>
        </w:tc>
        <w:tc>
          <w:tcPr>
            <w:tcW w:type="dxa" w:w="1020"/>
          </w:tcPr>
          <w:p>
            <w:r>
              <w:rPr>
                <w:b/>
                <w:sz w:val="18"/>
              </w:rPr>
              <w:t>Error_%</w:t>
            </w:r>
          </w:p>
        </w:tc>
        <w:tc>
          <w:tcPr>
            <w:tcW w:type="dxa" w:w="1134"/>
          </w:tcPr>
          <w:p>
            <w:r>
              <w:rPr>
                <w:b/>
                <w:sz w:val="18"/>
              </w:rPr>
              <w:t>Direction_OK</w:t>
            </w:r>
          </w:p>
        </w:tc>
      </w:tr>
      <w:tr>
        <w:tc>
          <w:tcPr>
            <w:tcW w:type="dxa" w:w="2551"/>
          </w:tcPr>
          <w:p>
            <w:r>
              <w:rPr>
                <w:sz w:val="18"/>
              </w:rPr>
              <w:t>Price rise % at Oil_Extraction</w:t>
            </w:r>
          </w:p>
        </w:tc>
        <w:tc>
          <w:tcPr>
            <w:tcW w:type="dxa" w:w="1134"/>
          </w:tcPr>
          <w:p>
            <w:r>
              <w:rPr>
                <w:sz w:val="18"/>
              </w:rPr>
              <w:t>54.0</w:t>
            </w:r>
          </w:p>
        </w:tc>
        <w:tc>
          <w:tcPr>
            <w:tcW w:type="dxa" w:w="1020"/>
          </w:tcPr>
          <w:p>
            <w:r>
              <w:rPr>
                <w:sz w:val="18"/>
              </w:rPr>
              <w:t>54.0</w:t>
            </w:r>
          </w:p>
        </w:tc>
        <w:tc>
          <w:tcPr>
            <w:tcW w:type="dxa" w:w="1020"/>
          </w:tcPr>
          <w:p>
            <w:r>
              <w:rPr>
                <w:sz w:val="18"/>
              </w:rPr>
              <w:t>0.0</w:t>
            </w:r>
          </w:p>
        </w:tc>
        <w:tc>
          <w:tcPr>
            <w:tcW w:type="dxa" w:w="1020"/>
          </w:tcPr>
          <w:p>
            <w:r>
              <w:rPr>
                <w:sz w:val="18"/>
              </w:rPr>
              <w:t>0.0</w:t>
            </w:r>
          </w:p>
        </w:tc>
        <w:tc>
          <w:tcPr>
            <w:tcW w:type="dxa" w:w="1134"/>
          </w:tcPr>
          <w:p>
            <w:r>
              <w:rPr>
                <w:sz w:val="18"/>
              </w:rPr>
              <w:t>True</w:t>
            </w:r>
          </w:p>
        </w:tc>
      </w:tr>
      <w:tr>
        <w:tc>
          <w:tcPr>
            <w:tcW w:type="dxa" w:w="2551"/>
          </w:tcPr>
          <w:p>
            <w:r>
              <w:rPr>
                <w:sz w:val="18"/>
              </w:rPr>
              <w:t>Welfare loss (£bn)</w:t>
            </w:r>
          </w:p>
        </w:tc>
        <w:tc>
          <w:tcPr>
            <w:tcW w:type="dxa" w:w="1134"/>
          </w:tcPr>
          <w:p>
            <w:r>
              <w:rPr>
                <w:sz w:val="18"/>
              </w:rPr>
              <w:t>0.5–1.5 (mid 1.0)</w:t>
            </w:r>
          </w:p>
        </w:tc>
        <w:tc>
          <w:tcPr>
            <w:tcW w:type="dxa" w:w="1020"/>
          </w:tcPr>
          <w:p>
            <w:r>
              <w:rPr>
                <w:sz w:val="18"/>
              </w:rPr>
              <w:t>0.41</w:t>
            </w:r>
          </w:p>
        </w:tc>
        <w:tc>
          <w:tcPr>
            <w:tcW w:type="dxa" w:w="1020"/>
          </w:tcPr>
          <w:p>
            <w:r>
              <w:rPr>
                <w:sz w:val="18"/>
              </w:rPr>
              <w:t>0.59</w:t>
            </w:r>
          </w:p>
        </w:tc>
        <w:tc>
          <w:tcPr>
            <w:tcW w:type="dxa" w:w="1020"/>
          </w:tcPr>
          <w:p>
            <w:r>
              <w:rPr>
                <w:sz w:val="18"/>
              </w:rPr>
              <w:t>58.6</w:t>
            </w:r>
          </w:p>
        </w:tc>
        <w:tc>
          <w:tcPr>
            <w:tcW w:type="dxa" w:w="1134"/>
          </w:tcPr>
          <w:p>
            <w:r>
              <w:rPr>
                <w:sz w:val="18"/>
              </w:rPr>
              <w:t>True</w:t>
            </w:r>
          </w:p>
        </w:tc>
      </w:tr>
      <w:tr>
        <w:tc>
          <w:tcPr>
            <w:tcW w:type="dxa" w:w="2551"/>
          </w:tcPr>
          <w:p>
            <w:r>
              <w:rPr>
                <w:sz w:val="18"/>
              </w:rPr>
              <w:t>Cascade price % at PTA_Production</w:t>
            </w:r>
          </w:p>
        </w:tc>
        <w:tc>
          <w:tcPr>
            <w:tcW w:type="dxa" w:w="1134"/>
          </w:tcPr>
          <w:p>
            <w:r>
              <w:rPr>
                <w:sz w:val="18"/>
              </w:rPr>
              <w:t>12.0</w:t>
            </w:r>
          </w:p>
        </w:tc>
        <w:tc>
          <w:tcPr>
            <w:tcW w:type="dxa" w:w="1020"/>
          </w:tcPr>
          <w:p>
            <w:r>
              <w:rPr>
                <w:sz w:val="18"/>
              </w:rPr>
              <w:t>9.18</w:t>
            </w:r>
          </w:p>
        </w:tc>
        <w:tc>
          <w:tcPr>
            <w:tcW w:type="dxa" w:w="1020"/>
          </w:tcPr>
          <w:p>
            <w:r>
              <w:rPr>
                <w:sz w:val="18"/>
              </w:rPr>
              <w:t>2.82</w:t>
            </w:r>
          </w:p>
        </w:tc>
        <w:tc>
          <w:tcPr>
            <w:tcW w:type="dxa" w:w="1020"/>
          </w:tcPr>
          <w:p>
            <w:r>
              <w:rPr>
                <w:sz w:val="18"/>
              </w:rPr>
              <w:t>23.5</w:t>
            </w:r>
          </w:p>
        </w:tc>
        <w:tc>
          <w:tcPr>
            <w:tcW w:type="dxa" w:w="1134"/>
          </w:tcPr>
          <w:p>
            <w:r>
              <w:rPr>
                <w:sz w:val="18"/>
              </w:rPr>
              <w:t>True</w:t>
            </w:r>
          </w:p>
        </w:tc>
      </w:tr>
    </w:tbl>
    <w:p/>
    <w:p>
      <w:pPr>
        <w:jc w:val="both"/>
      </w:pPr>
      <w:r>
        <w:rPr>
          <w:b/>
          <w:i w:val="0"/>
          <w:sz w:val="21"/>
        </w:rPr>
        <w:t>Data source detail by observable:</w:t>
      </w:r>
    </w:p>
    <w:p>
      <w:pPr>
        <w:pStyle w:val="ListBullet"/>
      </w:pPr>
      <w:r>
        <w:rPr>
          <w:sz w:val="21"/>
        </w:rPr>
        <w:t>Brent crude oil +54% (Oil_Extraction sector)</w:t>
      </w:r>
    </w:p>
    <w:p>
      <w:pPr>
        <w:ind w:left="567"/>
      </w:pPr>
      <w:r>
        <w:rPr>
          <w:b/>
          <w:sz w:val="19"/>
        </w:rPr>
        <w:t>Source: EIA Brent crude spot price series (monthly average). Jan 2022 = $83/bbl; March 2022 peak = $128/bbl</w:t>
      </w:r>
    </w:p>
    <w:p>
      <w:pPr>
        <w:ind w:left="567"/>
      </w:pPr>
      <w:r>
        <w:rPr>
          <w:sz w:val="19"/>
        </w:rPr>
        <w:t>EIA reports: Brent crude monthly average January 2022 = $83.22/bbl; March 2022 = $127.98/bbl (highest since 2008); annual average 2022 = $100.93/bbl vs $70.68/bbl in 2021 (+42.8% annual). The Jan-to-March peak increase = +53.8% ≈ +54%. Russia supplies ~11.6% of world crude (Wikipedia/EIA Nov 2025). Sanctions and supply uncertainty drove the price spike.</w:t>
      </w:r>
    </w:p>
    <w:p>
      <w:pPr>
        <w:ind w:left="567"/>
      </w:pPr>
      <w:r>
        <w:rPr>
          <w:b/>
          <w:sz w:val="19"/>
        </w:rPr>
        <w:t xml:space="preserve">Operationalisation: </w:t>
      </w:r>
      <w:r>
        <w:rPr>
          <w:sz w:val="19"/>
        </w:rPr>
        <w:t>commodity_prices = {'Oil_Extraction': 1.54}. Sets an oil price floor at +54%. Model reproduces exactly: Oil price = +54.0%.</w:t>
      </w:r>
    </w:p>
    <w:p>
      <w:pPr>
        <w:ind w:left="567"/>
      </w:pPr>
      <w:r>
        <w:rPr>
          <w:b/>
          <w:sz w:val="19"/>
        </w:rPr>
        <w:t xml:space="preserve">Limitation: </w:t>
      </w:r>
      <w:r>
        <w:rPr>
          <w:sz w:val="19"/>
        </w:rPr>
        <w:t>The model uses the peak Jan–March spike (+54%), but the annual average was +42%. For a 26-week simulation, the period-average price would be more appropriate; the peak calibration may overstate sustained energy cost impact.</w:t>
      </w:r>
    </w:p>
    <w:p>
      <w:pPr>
        <w:pStyle w:val="ListBullet"/>
      </w:pPr>
      <w:r>
        <w:rPr>
          <w:sz w:val="21"/>
        </w:rPr>
        <w:t>PTA China domestic price +12% (cascade to PTA_Production)</w:t>
      </w:r>
    </w:p>
    <w:p>
      <w:pPr>
        <w:ind w:left="567"/>
      </w:pPr>
      <w:r>
        <w:rPr>
          <w:b/>
          <w:sz w:val="19"/>
        </w:rPr>
        <w:t>Source: ICIS PTA China domestic spot price, H1 2022; range +10–15% cited in ICIS H1 2022 review</w:t>
      </w:r>
    </w:p>
    <w:p>
      <w:pPr>
        <w:ind w:left="567"/>
      </w:pPr>
      <w:r>
        <w:rPr>
          <w:sz w:val="19"/>
        </w:rPr>
        <w:t>ICIS H1 2022 review reports PTA China domestic price rose +10–15% in H1 2022, driven by crude oil/naphtha cost inflation passing through p-Xylene and into PTA. Midpoint +12% used. This is a cost-driven price rise (energy pass-through), not a supply shortage.</w:t>
      </w:r>
    </w:p>
    <w:p>
      <w:pPr>
        <w:ind w:left="567"/>
      </w:pPr>
      <w:r>
        <w:rPr>
          <w:b/>
          <w:sz w:val="19"/>
        </w:rPr>
        <w:t xml:space="preserve">Operationalisation: </w:t>
      </w:r>
      <w:r>
        <w:rPr>
          <w:sz w:val="19"/>
        </w:rPr>
        <w:t>Cascade check: model should produce a PTA price rise of approximately +12% from the oil price propagation through A[0,1]=0.20 (Oil→Chemical) and A[1,2]=0.62 (Chemical→PTA). Model gives +9.2% (−2.8pp, −23.5% error).</w:t>
      </w:r>
    </w:p>
    <w:p>
      <w:pPr>
        <w:ind w:left="567"/>
      </w:pPr>
      <w:r>
        <w:rPr>
          <w:b/>
          <w:sz w:val="19"/>
        </w:rPr>
        <w:t xml:space="preserve">Limitation: </w:t>
      </w:r>
      <w:r>
        <w:rPr>
          <w:sz w:val="19"/>
        </w:rPr>
        <w:t>The A-matrix cost propagation underestimates the cascade slightly because it captures only first-order input costs; second-order effects (energy costs in PTA production itself) are not modelled explicitly.</w:t>
      </w:r>
    </w:p>
    <w:p>
      <w:pPr>
        <w:pStyle w:val="ListBullet"/>
      </w:pPr>
      <w:r>
        <w:rPr>
          <w:sz w:val="21"/>
        </w:rPr>
        <w:t>Welfare loss £0.5–1.5bn (range)</w:t>
      </w:r>
    </w:p>
    <w:p>
      <w:pPr>
        <w:ind w:left="567"/>
      </w:pPr>
      <w:r>
        <w:rPr>
          <w:b/>
          <w:sz w:val="19"/>
        </w:rPr>
        <w:t>Source: ICIS MEG price +18–22% H1 2022; ICIS polyester staple fibre +12% H1 2022</w:t>
      </w:r>
    </w:p>
    <w:p>
      <w:pPr>
        <w:ind w:left="567"/>
      </w:pPr>
      <w:r>
        <w:rPr>
          <w:sz w:val="19"/>
        </w:rPr>
        <w:t>ICIS reports MEG China port prices rose +18–22% in H1 2022 (energy cost inflation). ICIS polyester staple fibre China export prices +12% H1 2022. UK welfare range estimated as price impact × UK polyester consumption (£51.4bn retail × 40% polyester × 5–10% price rise ÷ consumption share). Model gives £0.41bn, slightly below the £0.5bn lower bound.</w:t>
      </w:r>
    </w:p>
    <w:p>
      <w:pPr>
        <w:ind w:left="567"/>
      </w:pPr>
      <w:r>
        <w:rPr>
          <w:b/>
          <w:sz w:val="19"/>
        </w:rPr>
        <w:t xml:space="preserve">Operationalisation: </w:t>
      </w:r>
      <w:r>
        <w:rPr>
          <w:sz w:val="19"/>
        </w:rPr>
        <w:t>CGE welfare = −Σ Q₀·(P̄−1) gives £0.41bn.</w:t>
      </w:r>
    </w:p>
    <w:p>
      <w:pPr>
        <w:ind w:left="567"/>
      </w:pPr>
      <w:r>
        <w:rPr>
          <w:b/>
          <w:sz w:val="19"/>
        </w:rPr>
        <w:t xml:space="preserve">Limitation: </w:t>
      </w:r>
      <w:r>
        <w:rPr>
          <w:sz w:val="19"/>
        </w:rPr>
        <w:t>The welfare undershoot reflects that the model propagates oil cost to PTA (+9.2%) but the downstream chain price rises (Fabric +1.6%, Garment +0.9%) are small — the full chain has limited exposure to direct energy costs at downstream stages.</w:t>
      </w:r>
    </w:p>
    <w:p/>
    <w:p>
      <w:r>
        <w:br w:type="page"/>
      </w:r>
    </w:p>
    <w:p>
      <w:pPr>
        <w:pStyle w:val="Heading1"/>
      </w:pPr>
      <w:r>
        <w:t>2. Full Scenario Analysis Results</w:t>
      </w:r>
    </w:p>
    <w:p>
      <w:pPr>
        <w:jc w:val="both"/>
      </w:pPr>
      <w:r>
        <w:rPr>
          <w:b w:val="0"/>
          <w:i w:val="0"/>
          <w:sz w:val="22"/>
        </w:rPr>
        <w:t>Five forward-looking scenarios were simulated over 52 weeks using the bidirectional coupled IO × CGE × ABM model (run_coupled, T=52). Each scenario represents a plausible disruption to the UK polyester textile supply chain. Results are reported for all three model components and include sector-level detail.</w:t>
      </w:r>
    </w:p>
    <w:p>
      <w:pPr>
        <w:pStyle w:val="Heading2"/>
      </w:pPr>
      <w:r>
        <w:t>2.1 Scenario Comparison Summary</w:t>
      </w:r>
    </w:p>
    <w:tbl>
      <w:tblPr>
        <w:tblStyle w:val="LightShading-Accent1"/>
        <w:tblW w:type="auto" w:w="0"/>
        <w:tblLook w:firstColumn="1" w:firstRow="1" w:lastColumn="0" w:lastRow="0" w:noHBand="0" w:noVBand="1" w:val="04A0"/>
      </w:tblPr>
      <w:tblGrid>
        <w:gridCol w:w="1511"/>
        <w:gridCol w:w="1511"/>
        <w:gridCol w:w="1511"/>
        <w:gridCol w:w="1511"/>
        <w:gridCol w:w="1511"/>
        <w:gridCol w:w="1511"/>
      </w:tblGrid>
      <w:tr>
        <w:tc>
          <w:tcPr>
            <w:tcW w:type="dxa" w:w="850"/>
          </w:tcPr>
          <w:p>
            <w:r>
              <w:rPr>
                <w:b/>
                <w:sz w:val="18"/>
              </w:rPr>
              <w:t>Scenario</w:t>
            </w:r>
          </w:p>
        </w:tc>
        <w:tc>
          <w:tcPr>
            <w:tcW w:type="dxa" w:w="2268"/>
          </w:tcPr>
          <w:p>
            <w:r>
              <w:rPr>
                <w:b/>
                <w:sz w:val="18"/>
              </w:rPr>
              <w:t>Description</w:t>
            </w:r>
          </w:p>
        </w:tc>
        <w:tc>
          <w:tcPr>
            <w:tcW w:type="dxa" w:w="1134"/>
          </w:tcPr>
          <w:p>
            <w:r>
              <w:rPr>
                <w:b/>
                <w:sz w:val="18"/>
              </w:rPr>
              <w:t>IO Loss (£bn)</w:t>
            </w:r>
          </w:p>
        </w:tc>
        <w:tc>
          <w:tcPr>
            <w:tcW w:type="dxa" w:w="1304"/>
          </w:tcPr>
          <w:p>
            <w:r>
              <w:rPr>
                <w:b/>
                <w:sz w:val="18"/>
              </w:rPr>
              <w:t>CGE Welfare (£bn)</w:t>
            </w:r>
          </w:p>
        </w:tc>
        <w:tc>
          <w:tcPr>
            <w:tcW w:type="dxa" w:w="1134"/>
          </w:tcPr>
          <w:p>
            <w:r>
              <w:rPr>
                <w:b/>
                <w:sz w:val="18"/>
              </w:rPr>
              <w:t>Max Price Rise</w:t>
            </w:r>
          </w:p>
        </w:tc>
        <w:tc>
          <w:tcPr>
            <w:tcW w:type="dxa" w:w="1304"/>
          </w:tcPr>
          <w:p>
            <w:r>
              <w:rPr>
                <w:b/>
                <w:sz w:val="18"/>
              </w:rPr>
              <w:t>Sector at Max Price</w:t>
            </w:r>
          </w:p>
        </w:tc>
      </w:tr>
      <w:tr>
        <w:tc>
          <w:tcPr>
            <w:tcW w:type="dxa" w:w="850"/>
          </w:tcPr>
          <w:p>
            <w:r>
              <w:rPr>
                <w:sz w:val="18"/>
              </w:rPr>
              <w:t>S1</w:t>
            </w:r>
          </w:p>
        </w:tc>
        <w:tc>
          <w:tcPr>
            <w:tcW w:type="dxa" w:w="2268"/>
          </w:tcPr>
          <w:p>
            <w:r>
              <w:rPr>
                <w:sz w:val="18"/>
              </w:rPr>
              <w:t>PTA Production Shock</w:t>
            </w:r>
          </w:p>
        </w:tc>
        <w:tc>
          <w:tcPr>
            <w:tcW w:type="dxa" w:w="1134"/>
          </w:tcPr>
          <w:p>
            <w:r>
              <w:rPr>
                <w:sz w:val="18"/>
              </w:rPr>
              <w:t>1.410</w:t>
            </w:r>
          </w:p>
        </w:tc>
        <w:tc>
          <w:tcPr>
            <w:tcW w:type="dxa" w:w="1304"/>
          </w:tcPr>
          <w:p>
            <w:r>
              <w:rPr>
                <w:sz w:val="18"/>
              </w:rPr>
              <w:t>-3.582</w:t>
            </w:r>
          </w:p>
        </w:tc>
        <w:tc>
          <w:tcPr>
            <w:tcW w:type="dxa" w:w="1134"/>
          </w:tcPr>
          <w:p>
            <w:r>
              <w:rPr>
                <w:sz w:val="18"/>
              </w:rPr>
              <w:t>+13.7%</w:t>
            </w:r>
          </w:p>
        </w:tc>
        <w:tc>
          <w:tcPr>
            <w:tcW w:type="dxa" w:w="1304"/>
          </w:tcPr>
          <w:p>
            <w:r>
              <w:rPr>
                <w:sz w:val="18"/>
              </w:rPr>
              <w:t>PTA</w:t>
            </w:r>
          </w:p>
        </w:tc>
      </w:tr>
      <w:tr>
        <w:tc>
          <w:tcPr>
            <w:tcW w:type="dxa" w:w="850"/>
          </w:tcPr>
          <w:p>
            <w:r>
              <w:rPr>
                <w:sz w:val="18"/>
              </w:rPr>
              <w:t>S2</w:t>
            </w:r>
          </w:p>
        </w:tc>
        <w:tc>
          <w:tcPr>
            <w:tcW w:type="dxa" w:w="2268"/>
          </w:tcPr>
          <w:p>
            <w:r>
              <w:rPr>
                <w:sz w:val="18"/>
              </w:rPr>
              <w:t>MEG Supply Disruption</w:t>
            </w:r>
          </w:p>
        </w:tc>
        <w:tc>
          <w:tcPr>
            <w:tcW w:type="dxa" w:w="1134"/>
          </w:tcPr>
          <w:p>
            <w:r>
              <w:rPr>
                <w:sz w:val="18"/>
              </w:rPr>
              <w:t>0.143</w:t>
            </w:r>
          </w:p>
        </w:tc>
        <w:tc>
          <w:tcPr>
            <w:tcW w:type="dxa" w:w="1304"/>
          </w:tcPr>
          <w:p>
            <w:r>
              <w:rPr>
                <w:sz w:val="18"/>
              </w:rPr>
              <w:t>-0.403</w:t>
            </w:r>
          </w:p>
        </w:tc>
        <w:tc>
          <w:tcPr>
            <w:tcW w:type="dxa" w:w="1134"/>
          </w:tcPr>
          <w:p>
            <w:r>
              <w:rPr>
                <w:sz w:val="18"/>
              </w:rPr>
              <w:t>+1.4%</w:t>
            </w:r>
          </w:p>
        </w:tc>
        <w:tc>
          <w:tcPr>
            <w:tcW w:type="dxa" w:w="1304"/>
          </w:tcPr>
          <w:p>
            <w:r>
              <w:rPr>
                <w:sz w:val="18"/>
              </w:rPr>
              <w:t>PET</w:t>
            </w:r>
          </w:p>
        </w:tc>
      </w:tr>
      <w:tr>
        <w:tc>
          <w:tcPr>
            <w:tcW w:type="dxa" w:w="850"/>
          </w:tcPr>
          <w:p>
            <w:r>
              <w:rPr>
                <w:sz w:val="18"/>
              </w:rPr>
              <w:t>S3</w:t>
            </w:r>
          </w:p>
        </w:tc>
        <w:tc>
          <w:tcPr>
            <w:tcW w:type="dxa" w:w="2268"/>
          </w:tcPr>
          <w:p>
            <w:r>
              <w:rPr>
                <w:sz w:val="18"/>
              </w:rPr>
              <w:t>UK–China Geopolitical Trade Restriction</w:t>
            </w:r>
          </w:p>
        </w:tc>
        <w:tc>
          <w:tcPr>
            <w:tcW w:type="dxa" w:w="1134"/>
          </w:tcPr>
          <w:p>
            <w:r>
              <w:rPr>
                <w:sz w:val="18"/>
              </w:rPr>
              <w:t>0.446</w:t>
            </w:r>
          </w:p>
        </w:tc>
        <w:tc>
          <w:tcPr>
            <w:tcW w:type="dxa" w:w="1304"/>
          </w:tcPr>
          <w:p>
            <w:r>
              <w:rPr>
                <w:sz w:val="18"/>
              </w:rPr>
              <w:t>-1.044</w:t>
            </w:r>
          </w:p>
        </w:tc>
        <w:tc>
          <w:tcPr>
            <w:tcW w:type="dxa" w:w="1134"/>
          </w:tcPr>
          <w:p>
            <w:r>
              <w:rPr>
                <w:sz w:val="18"/>
              </w:rPr>
              <w:t>+1.8%</w:t>
            </w:r>
          </w:p>
        </w:tc>
        <w:tc>
          <w:tcPr>
            <w:tcW w:type="dxa" w:w="1304"/>
          </w:tcPr>
          <w:p>
            <w:r>
              <w:rPr>
                <w:sz w:val="18"/>
              </w:rPr>
              <w:t>Wholesale</w:t>
            </w:r>
          </w:p>
        </w:tc>
      </w:tr>
      <w:tr>
        <w:tc>
          <w:tcPr>
            <w:tcW w:type="dxa" w:w="850"/>
          </w:tcPr>
          <w:p>
            <w:r>
              <w:rPr>
                <w:sz w:val="18"/>
              </w:rPr>
              <w:t>S4</w:t>
            </w:r>
          </w:p>
        </w:tc>
        <w:tc>
          <w:tcPr>
            <w:tcW w:type="dxa" w:w="2268"/>
          </w:tcPr>
          <w:p>
            <w:r>
              <w:rPr>
                <w:sz w:val="18"/>
              </w:rPr>
              <w:t>Zhangjiagang Port Closure</w:t>
            </w:r>
          </w:p>
        </w:tc>
        <w:tc>
          <w:tcPr>
            <w:tcW w:type="dxa" w:w="1134"/>
          </w:tcPr>
          <w:p>
            <w:r>
              <w:rPr>
                <w:sz w:val="18"/>
              </w:rPr>
              <w:t>0.391</w:t>
            </w:r>
          </w:p>
        </w:tc>
        <w:tc>
          <w:tcPr>
            <w:tcW w:type="dxa" w:w="1304"/>
          </w:tcPr>
          <w:p>
            <w:r>
              <w:rPr>
                <w:sz w:val="18"/>
              </w:rPr>
              <w:t>-0.946</w:t>
            </w:r>
          </w:p>
        </w:tc>
        <w:tc>
          <w:tcPr>
            <w:tcW w:type="dxa" w:w="1134"/>
          </w:tcPr>
          <w:p>
            <w:r>
              <w:rPr>
                <w:sz w:val="18"/>
              </w:rPr>
              <w:t>+2.6%</w:t>
            </w:r>
          </w:p>
        </w:tc>
        <w:tc>
          <w:tcPr>
            <w:tcW w:type="dxa" w:w="1304"/>
          </w:tcPr>
          <w:p>
            <w:r>
              <w:rPr>
                <w:sz w:val="18"/>
              </w:rPr>
              <w:t>PET</w:t>
            </w:r>
          </w:p>
        </w:tc>
      </w:tr>
      <w:tr>
        <w:tc>
          <w:tcPr>
            <w:tcW w:type="dxa" w:w="850"/>
          </w:tcPr>
          <w:p>
            <w:r>
              <w:rPr>
                <w:sz w:val="18"/>
              </w:rPr>
              <w:t>S5</w:t>
            </w:r>
          </w:p>
        </w:tc>
        <w:tc>
          <w:tcPr>
            <w:tcW w:type="dxa" w:w="2268"/>
          </w:tcPr>
          <w:p>
            <w:r>
              <w:rPr>
                <w:sz w:val="18"/>
              </w:rPr>
              <w:t>Multi-Node Pandemic Shock</w:t>
            </w:r>
          </w:p>
        </w:tc>
        <w:tc>
          <w:tcPr>
            <w:tcW w:type="dxa" w:w="1134"/>
          </w:tcPr>
          <w:p>
            <w:r>
              <w:rPr>
                <w:sz w:val="18"/>
              </w:rPr>
              <w:t>2.429</w:t>
            </w:r>
          </w:p>
        </w:tc>
        <w:tc>
          <w:tcPr>
            <w:tcW w:type="dxa" w:w="1304"/>
          </w:tcPr>
          <w:p>
            <w:r>
              <w:rPr>
                <w:sz w:val="18"/>
              </w:rPr>
              <w:t>-6.342</w:t>
            </w:r>
          </w:p>
        </w:tc>
        <w:tc>
          <w:tcPr>
            <w:tcW w:type="dxa" w:w="1134"/>
          </w:tcPr>
          <w:p>
            <w:r>
              <w:rPr>
                <w:sz w:val="18"/>
              </w:rPr>
              <w:t>+19.9%</w:t>
            </w:r>
          </w:p>
        </w:tc>
        <w:tc>
          <w:tcPr>
            <w:tcW w:type="dxa" w:w="1304"/>
          </w:tcPr>
          <w:p>
            <w:r>
              <w:rPr>
                <w:sz w:val="18"/>
              </w:rPr>
              <w:t>PTA</w:t>
            </w:r>
          </w:p>
        </w:tc>
      </w:tr>
    </w:tbl>
    <w:p>
      <w:r>
        <w:rPr>
          <w:i/>
          <w:color w:val="646464"/>
          <w:sz w:val="17"/>
        </w:rPr>
        <w:t>Source: IO Loss: value of supply shortages at UK retail, monetised as shortage_fraction × £51.4bn UK retail polyester spend × 0.57×0.40 polyester share / 52 weeks × T periods. CGE Welfare: Compensating Variation = −Σ Q₀ · (P̄ − 1) using period-average prices (prevents undercount when shocks recover before period T). Max Price Rise: peak average CGE price change across all 8 sectors.</w:t>
      </w:r>
    </w:p>
    <w:p>
      <w:pPr>
        <w:pStyle w:val="Heading2"/>
      </w:pPr>
      <w:r>
        <w:t>2.2 Detailed Results by Scenario</w:t>
      </w:r>
    </w:p>
    <w:p>
      <w:pPr>
        <w:pStyle w:val="Heading3"/>
      </w:pPr>
      <w:r>
        <w:t>S1: PTA Production Shock</w:t>
      </w:r>
    </w:p>
    <w:p>
      <w:pPr>
        <w:jc w:val="both"/>
      </w:pPr>
      <w:r>
        <w:rPr>
          <w:b w:val="0"/>
          <w:i w:val="0"/>
          <w:sz w:val="21"/>
        </w:rPr>
        <w:t>Eastern China PTA production capacity falls 50% due to earthquake, policy restriction, or industrial accident. China holds 67% of global PTA capacity (GlobalData 2021 capacity survey), making this the highest-concentration upstream node in the chain. Calibrated to the 2018 nylon-66 ADN fire magnitude (35–40% supply loss). The IO shock is applied at week 4 (onset) with additional PET (−35%) and Fabric (−20%) shocks reflecting cascade propagation through the A-matrix coefficients (A[2,3]=0.55, A[3,4]=0.45). Duration: 24 weeks.</w:t>
      </w:r>
    </w:p>
    <w:p>
      <w:pPr>
        <w:jc w:val="both"/>
      </w:pPr>
      <w:r>
        <w:rPr>
          <w:b w:val="0"/>
          <w:i/>
          <w:sz w:val="19"/>
        </w:rPr>
        <w:t>Calibration: cge_supply: PTA=0.50, PET=0.65, Fabric=0.82. io_shocks: PTA −50%, PET −35%, Fabric −20% (onset week 4). abm_schedule: PTA China severity 0.50 duration 12wk (wk4); PET China severity 0.35 duration 10wk (wk5). Reference: 2018 nylon-66 ADN factory fires; RiSC report PTA concentration analysis.</w:t>
      </w:r>
    </w:p>
    <w:p>
      <w:pPr>
        <w:jc w:val="both"/>
      </w:pPr>
      <w:r>
        <w:rPr>
          <w:b/>
          <w:i w:val="0"/>
          <w:sz w:val="21"/>
        </w:rPr>
        <w:t>2.2.1  CGE Equilibrium Prices</w:t>
      </w:r>
    </w:p>
    <w:tbl>
      <w:tblPr>
        <w:tblStyle w:val="LightShading-Accent1"/>
        <w:tblW w:type="auto" w:w="0"/>
        <w:tblLook w:firstColumn="1" w:firstRow="1" w:lastColumn="0" w:lastRow="0" w:noHBand="0" w:noVBand="1" w:val="04A0"/>
      </w:tblPr>
      <w:tblGrid>
        <w:gridCol w:w="2266"/>
        <w:gridCol w:w="2266"/>
        <w:gridCol w:w="2266"/>
        <w:gridCol w:w="2266"/>
      </w:tblGrid>
      <w:tr>
        <w:tc>
          <w:tcPr>
            <w:tcW w:type="dxa" w:w="1417"/>
          </w:tcPr>
          <w:p>
            <w:r>
              <w:rPr>
                <w:b/>
                <w:sz w:val="18"/>
              </w:rPr>
              <w:t>Sector</w:t>
            </w:r>
          </w:p>
        </w:tc>
        <w:tc>
          <w:tcPr>
            <w:tcW w:type="dxa" w:w="1814"/>
          </w:tcPr>
          <w:p>
            <w:r>
              <w:rPr>
                <w:b/>
                <w:sz w:val="18"/>
              </w:rPr>
              <w:t>Avg Price Index (×baseline)</w:t>
            </w:r>
          </w:p>
        </w:tc>
        <w:tc>
          <w:tcPr>
            <w:tcW w:type="dxa" w:w="1701"/>
          </w:tcPr>
          <w:p>
            <w:r>
              <w:rPr>
                <w:b/>
                <w:sz w:val="18"/>
              </w:rPr>
              <w:t>% Change from Baseline</w:t>
            </w:r>
          </w:p>
        </w:tc>
        <w:tc>
          <w:tcPr>
            <w:tcW w:type="dxa" w:w="1701"/>
          </w:tcPr>
          <w:p>
            <w:r>
              <w:rPr>
                <w:b/>
                <w:sz w:val="18"/>
              </w:rPr>
              <w:t>Interpretation</w:t>
            </w:r>
          </w:p>
        </w:tc>
      </w:tr>
      <w:tr>
        <w:tc>
          <w:tcPr>
            <w:tcW w:type="dxa" w:w="1417"/>
          </w:tcPr>
          <w:p>
            <w:r>
              <w:rPr>
                <w:sz w:val="18"/>
              </w:rPr>
              <w:t>Oil</w:t>
            </w:r>
          </w:p>
        </w:tc>
        <w:tc>
          <w:tcPr>
            <w:tcW w:type="dxa" w:w="1814"/>
          </w:tcPr>
          <w:p>
            <w:r>
              <w:rPr>
                <w:sz w:val="18"/>
              </w:rPr>
              <w:t>1.0000</w:t>
            </w:r>
          </w:p>
        </w:tc>
        <w:tc>
          <w:tcPr>
            <w:tcW w:type="dxa" w:w="1701"/>
          </w:tcPr>
          <w:p>
            <w:r>
              <w:rPr>
                <w:sz w:val="18"/>
              </w:rPr>
              <w:t>+0.00%</w:t>
            </w:r>
          </w:p>
        </w:tc>
        <w:tc>
          <w:tcPr>
            <w:tcW w:type="dxa" w:w="1701"/>
          </w:tcPr>
          <w:p>
            <w:r>
              <w:rPr>
                <w:sz w:val="18"/>
              </w:rPr>
              <w:t>Negligible</w:t>
            </w:r>
          </w:p>
        </w:tc>
      </w:tr>
      <w:tr>
        <w:tc>
          <w:tcPr>
            <w:tcW w:type="dxa" w:w="1417"/>
          </w:tcPr>
          <w:p>
            <w:r>
              <w:rPr>
                <w:sz w:val="18"/>
              </w:rPr>
              <w:t>Chemical</w:t>
            </w:r>
          </w:p>
        </w:tc>
        <w:tc>
          <w:tcPr>
            <w:tcW w:type="dxa" w:w="1814"/>
          </w:tcPr>
          <w:p>
            <w:r>
              <w:rPr>
                <w:sz w:val="18"/>
              </w:rPr>
              <w:t>1.0000</w:t>
            </w:r>
          </w:p>
        </w:tc>
        <w:tc>
          <w:tcPr>
            <w:tcW w:type="dxa" w:w="1701"/>
          </w:tcPr>
          <w:p>
            <w:r>
              <w:rPr>
                <w:sz w:val="18"/>
              </w:rPr>
              <w:t>+0.00%</w:t>
            </w:r>
          </w:p>
        </w:tc>
        <w:tc>
          <w:tcPr>
            <w:tcW w:type="dxa" w:w="1701"/>
          </w:tcPr>
          <w:p>
            <w:r>
              <w:rPr>
                <w:sz w:val="18"/>
              </w:rPr>
              <w:t>Negligible</w:t>
            </w:r>
          </w:p>
        </w:tc>
      </w:tr>
      <w:tr>
        <w:tc>
          <w:tcPr>
            <w:tcW w:type="dxa" w:w="1417"/>
          </w:tcPr>
          <w:p>
            <w:r>
              <w:rPr>
                <w:sz w:val="18"/>
              </w:rPr>
              <w:t>PTA</w:t>
            </w:r>
          </w:p>
        </w:tc>
        <w:tc>
          <w:tcPr>
            <w:tcW w:type="dxa" w:w="1814"/>
          </w:tcPr>
          <w:p>
            <w:r>
              <w:rPr>
                <w:sz w:val="18"/>
              </w:rPr>
              <w:t>1.1373</w:t>
            </w:r>
          </w:p>
        </w:tc>
        <w:tc>
          <w:tcPr>
            <w:tcW w:type="dxa" w:w="1701"/>
          </w:tcPr>
          <w:p>
            <w:r>
              <w:rPr>
                <w:sz w:val="18"/>
              </w:rPr>
              <w:t>+13.73%</w:t>
            </w:r>
          </w:p>
        </w:tc>
        <w:tc>
          <w:tcPr>
            <w:tcW w:type="dxa" w:w="1701"/>
          </w:tcPr>
          <w:p>
            <w:r>
              <w:rPr>
                <w:sz w:val="18"/>
              </w:rPr>
              <w:t>Major disruption</w:t>
            </w:r>
          </w:p>
        </w:tc>
      </w:tr>
      <w:tr>
        <w:tc>
          <w:tcPr>
            <w:tcW w:type="dxa" w:w="1417"/>
          </w:tcPr>
          <w:p>
            <w:r>
              <w:rPr>
                <w:sz w:val="18"/>
              </w:rPr>
              <w:t>PET</w:t>
            </w:r>
          </w:p>
        </w:tc>
        <w:tc>
          <w:tcPr>
            <w:tcW w:type="dxa" w:w="1814"/>
          </w:tcPr>
          <w:p>
            <w:r>
              <w:rPr>
                <w:sz w:val="18"/>
              </w:rPr>
              <w:t>1.1137</w:t>
            </w:r>
          </w:p>
        </w:tc>
        <w:tc>
          <w:tcPr>
            <w:tcW w:type="dxa" w:w="1701"/>
          </w:tcPr>
          <w:p>
            <w:r>
              <w:rPr>
                <w:sz w:val="18"/>
              </w:rPr>
              <w:t>+11.37%</w:t>
            </w:r>
          </w:p>
        </w:tc>
        <w:tc>
          <w:tcPr>
            <w:tcW w:type="dxa" w:w="1701"/>
          </w:tcPr>
          <w:p>
            <w:r>
              <w:rPr>
                <w:sz w:val="18"/>
              </w:rPr>
              <w:t>Major disruption</w:t>
            </w:r>
          </w:p>
        </w:tc>
      </w:tr>
      <w:tr>
        <w:tc>
          <w:tcPr>
            <w:tcW w:type="dxa" w:w="1417"/>
          </w:tcPr>
          <w:p>
            <w:r>
              <w:rPr>
                <w:sz w:val="18"/>
              </w:rPr>
              <w:t>Fabric</w:t>
            </w:r>
          </w:p>
        </w:tc>
        <w:tc>
          <w:tcPr>
            <w:tcW w:type="dxa" w:w="1814"/>
          </w:tcPr>
          <w:p>
            <w:r>
              <w:rPr>
                <w:sz w:val="18"/>
              </w:rPr>
              <w:t>1.0589</w:t>
            </w:r>
          </w:p>
        </w:tc>
        <w:tc>
          <w:tcPr>
            <w:tcW w:type="dxa" w:w="1701"/>
          </w:tcPr>
          <w:p>
            <w:r>
              <w:rPr>
                <w:sz w:val="18"/>
              </w:rPr>
              <w:t>+5.89%</w:t>
            </w:r>
          </w:p>
        </w:tc>
        <w:tc>
          <w:tcPr>
            <w:tcW w:type="dxa" w:w="1701"/>
          </w:tcPr>
          <w:p>
            <w:r>
              <w:rPr>
                <w:sz w:val="18"/>
              </w:rPr>
              <w:t>Moderate</w:t>
            </w:r>
          </w:p>
        </w:tc>
      </w:tr>
      <w:tr>
        <w:tc>
          <w:tcPr>
            <w:tcW w:type="dxa" w:w="1417"/>
          </w:tcPr>
          <w:p>
            <w:r>
              <w:rPr>
                <w:sz w:val="18"/>
              </w:rPr>
              <w:t>Garment</w:t>
            </w:r>
          </w:p>
        </w:tc>
        <w:tc>
          <w:tcPr>
            <w:tcW w:type="dxa" w:w="1814"/>
          </w:tcPr>
          <w:p>
            <w:r>
              <w:rPr>
                <w:sz w:val="18"/>
              </w:rPr>
              <w:t>1.0504</w:t>
            </w:r>
          </w:p>
        </w:tc>
        <w:tc>
          <w:tcPr>
            <w:tcW w:type="dxa" w:w="1701"/>
          </w:tcPr>
          <w:p>
            <w:r>
              <w:rPr>
                <w:sz w:val="18"/>
              </w:rPr>
              <w:t>+5.04%</w:t>
            </w:r>
          </w:p>
        </w:tc>
        <w:tc>
          <w:tcPr>
            <w:tcW w:type="dxa" w:w="1701"/>
          </w:tcPr>
          <w:p>
            <w:r>
              <w:rPr>
                <w:sz w:val="18"/>
              </w:rPr>
              <w:t>Moderate</w:t>
            </w:r>
          </w:p>
        </w:tc>
      </w:tr>
      <w:tr>
        <w:tc>
          <w:tcPr>
            <w:tcW w:type="dxa" w:w="1417"/>
          </w:tcPr>
          <w:p>
            <w:r>
              <w:rPr>
                <w:sz w:val="18"/>
              </w:rPr>
              <w:t>Wholesale</w:t>
            </w:r>
          </w:p>
        </w:tc>
        <w:tc>
          <w:tcPr>
            <w:tcW w:type="dxa" w:w="1814"/>
          </w:tcPr>
          <w:p>
            <w:r>
              <w:rPr>
                <w:sz w:val="18"/>
              </w:rPr>
              <w:t>1.0514</w:t>
            </w:r>
          </w:p>
        </w:tc>
        <w:tc>
          <w:tcPr>
            <w:tcW w:type="dxa" w:w="1701"/>
          </w:tcPr>
          <w:p>
            <w:r>
              <w:rPr>
                <w:sz w:val="18"/>
              </w:rPr>
              <w:t>+5.14%</w:t>
            </w:r>
          </w:p>
        </w:tc>
        <w:tc>
          <w:tcPr>
            <w:tcW w:type="dxa" w:w="1701"/>
          </w:tcPr>
          <w:p>
            <w:r>
              <w:rPr>
                <w:sz w:val="18"/>
              </w:rPr>
              <w:t>Moderate</w:t>
            </w:r>
          </w:p>
        </w:tc>
      </w:tr>
      <w:tr>
        <w:tc>
          <w:tcPr>
            <w:tcW w:type="dxa" w:w="1417"/>
          </w:tcPr>
          <w:p>
            <w:r>
              <w:rPr>
                <w:sz w:val="18"/>
              </w:rPr>
              <w:t>Retail</w:t>
            </w:r>
          </w:p>
        </w:tc>
        <w:tc>
          <w:tcPr>
            <w:tcW w:type="dxa" w:w="1814"/>
          </w:tcPr>
          <w:p>
            <w:r>
              <w:rPr>
                <w:sz w:val="18"/>
              </w:rPr>
              <w:t>1.0375</w:t>
            </w:r>
          </w:p>
        </w:tc>
        <w:tc>
          <w:tcPr>
            <w:tcW w:type="dxa" w:w="1701"/>
          </w:tcPr>
          <w:p>
            <w:r>
              <w:rPr>
                <w:sz w:val="18"/>
              </w:rPr>
              <w:t>+3.75%</w:t>
            </w:r>
          </w:p>
        </w:tc>
        <w:tc>
          <w:tcPr>
            <w:tcW w:type="dxa" w:w="1701"/>
          </w:tcPr>
          <w:p>
            <w:r>
              <w:rPr>
                <w:sz w:val="18"/>
              </w:rPr>
              <w:t>Moderate</w:t>
            </w:r>
          </w:p>
        </w:tc>
      </w:tr>
    </w:tbl>
    <w:p>
      <w:pPr>
        <w:jc w:val="both"/>
      </w:pPr>
      <w:r>
        <w:rPr>
          <w:b w:val="0"/>
          <w:i/>
          <w:sz w:val="20"/>
        </w:rPr>
        <w:t>Period-average welfare change: £-3.582bn (loss).  Peak period price: 1.728×baseline.</w:t>
      </w:r>
    </w:p>
    <w:p>
      <w:pPr>
        <w:jc w:val="both"/>
      </w:pPr>
      <w:r>
        <w:rPr>
          <w:b/>
          <w:i w:val="0"/>
          <w:sz w:val="21"/>
        </w:rPr>
        <w:t>2.2.2  IO Model: Worst-Week Output Drop and Shortage</w:t>
      </w:r>
    </w:p>
    <w:tbl>
      <w:tblPr>
        <w:tblStyle w:val="LightShading-Accent1"/>
        <w:tblW w:type="auto" w:w="0"/>
        <w:tblLook w:firstColumn="1" w:firstRow="1" w:lastColumn="0" w:lastRow="0" w:noHBand="0" w:noVBand="1" w:val="04A0"/>
      </w:tblPr>
      <w:tblGrid>
        <w:gridCol w:w="1813"/>
        <w:gridCol w:w="1813"/>
        <w:gridCol w:w="1813"/>
        <w:gridCol w:w="1813"/>
        <w:gridCol w:w="1813"/>
      </w:tblGrid>
      <w:tr>
        <w:tc>
          <w:tcPr>
            <w:tcW w:type="dxa" w:w="1417"/>
          </w:tcPr>
          <w:p>
            <w:r>
              <w:rPr>
                <w:b/>
                <w:sz w:val="18"/>
              </w:rPr>
              <w:t>Sector</w:t>
            </w:r>
          </w:p>
        </w:tc>
        <w:tc>
          <w:tcPr>
            <w:tcW w:type="dxa" w:w="1417"/>
          </w:tcPr>
          <w:p>
            <w:r>
              <w:rPr>
                <w:b/>
                <w:sz w:val="18"/>
              </w:rPr>
              <w:t>Baseline Output (norm.)</w:t>
            </w:r>
          </w:p>
        </w:tc>
        <w:tc>
          <w:tcPr>
            <w:tcW w:type="dxa" w:w="1587"/>
          </w:tcPr>
          <w:p>
            <w:r>
              <w:rPr>
                <w:b/>
                <w:sz w:val="18"/>
              </w:rPr>
              <w:t>Worst-Week Output (norm.)</w:t>
            </w:r>
          </w:p>
        </w:tc>
        <w:tc>
          <w:tcPr>
            <w:tcW w:type="dxa" w:w="1417"/>
          </w:tcPr>
          <w:p>
            <w:r>
              <w:rPr>
                <w:b/>
                <w:sz w:val="18"/>
              </w:rPr>
              <w:t>Max Output Drop (%)</w:t>
            </w:r>
          </w:p>
        </w:tc>
        <w:tc>
          <w:tcPr>
            <w:tcW w:type="dxa" w:w="1587"/>
          </w:tcPr>
          <w:p>
            <w:r>
              <w:rPr>
                <w:b/>
                <w:sz w:val="18"/>
              </w:rPr>
              <w:t>Total Shortage (norm.)</w:t>
            </w:r>
          </w:p>
        </w:tc>
      </w:tr>
      <w:tr>
        <w:tc>
          <w:tcPr>
            <w:tcW w:type="dxa" w:w="1417"/>
          </w:tcPr>
          <w:p>
            <w:r>
              <w:rPr>
                <w:sz w:val="18"/>
              </w:rPr>
              <w:t>Oil</w:t>
            </w:r>
          </w:p>
        </w:tc>
        <w:tc>
          <w:tcPr>
            <w:tcW w:type="dxa" w:w="1417"/>
          </w:tcPr>
          <w:p>
            <w:r>
              <w:rPr>
                <w:sz w:val="18"/>
              </w:rPr>
              <w:t>0.0005</w:t>
            </w:r>
          </w:p>
        </w:tc>
        <w:tc>
          <w:tcPr>
            <w:tcW w:type="dxa" w:w="1587"/>
          </w:tcPr>
          <w:p>
            <w:r>
              <w:rPr>
                <w:sz w:val="18"/>
              </w:rPr>
              <w:t>0.0005</w:t>
            </w:r>
          </w:p>
        </w:tc>
        <w:tc>
          <w:tcPr>
            <w:tcW w:type="dxa" w:w="1417"/>
          </w:tcPr>
          <w:p>
            <w:r>
              <w:rPr>
                <w:sz w:val="18"/>
              </w:rPr>
              <w:t>+0.0%</w:t>
            </w:r>
          </w:p>
        </w:tc>
        <w:tc>
          <w:tcPr>
            <w:tcW w:type="dxa" w:w="1587"/>
          </w:tcPr>
          <w:p>
            <w:r>
              <w:rPr>
                <w:sz w:val="18"/>
              </w:rPr>
              <w:t>0.0000</w:t>
            </w:r>
          </w:p>
        </w:tc>
      </w:tr>
      <w:tr>
        <w:tc>
          <w:tcPr>
            <w:tcW w:type="dxa" w:w="1417"/>
          </w:tcPr>
          <w:p>
            <w:r>
              <w:rPr>
                <w:sz w:val="18"/>
              </w:rPr>
              <w:t>Chemical</w:t>
            </w:r>
          </w:p>
        </w:tc>
        <w:tc>
          <w:tcPr>
            <w:tcW w:type="dxa" w:w="1417"/>
          </w:tcPr>
          <w:p>
            <w:r>
              <w:rPr>
                <w:sz w:val="18"/>
              </w:rPr>
              <w:t>0.0021</w:t>
            </w:r>
          </w:p>
        </w:tc>
        <w:tc>
          <w:tcPr>
            <w:tcW w:type="dxa" w:w="1587"/>
          </w:tcPr>
          <w:p>
            <w:r>
              <w:rPr>
                <w:sz w:val="18"/>
              </w:rPr>
              <w:t>0.0021</w:t>
            </w:r>
          </w:p>
        </w:tc>
        <w:tc>
          <w:tcPr>
            <w:tcW w:type="dxa" w:w="1417"/>
          </w:tcPr>
          <w:p>
            <w:r>
              <w:rPr>
                <w:sz w:val="18"/>
              </w:rPr>
              <w:t>+0.0%</w:t>
            </w:r>
          </w:p>
        </w:tc>
        <w:tc>
          <w:tcPr>
            <w:tcW w:type="dxa" w:w="1587"/>
          </w:tcPr>
          <w:p>
            <w:r>
              <w:rPr>
                <w:sz w:val="18"/>
              </w:rPr>
              <w:t>0.0000</w:t>
            </w:r>
          </w:p>
        </w:tc>
      </w:tr>
      <w:tr>
        <w:tc>
          <w:tcPr>
            <w:tcW w:type="dxa" w:w="1417"/>
          </w:tcPr>
          <w:p>
            <w:r>
              <w:rPr>
                <w:sz w:val="18"/>
              </w:rPr>
              <w:t>PTA</w:t>
            </w:r>
          </w:p>
        </w:tc>
        <w:tc>
          <w:tcPr>
            <w:tcW w:type="dxa" w:w="1417"/>
          </w:tcPr>
          <w:p>
            <w:r>
              <w:rPr>
                <w:sz w:val="18"/>
              </w:rPr>
              <w:t>0.0016</w:t>
            </w:r>
          </w:p>
        </w:tc>
        <w:tc>
          <w:tcPr>
            <w:tcW w:type="dxa" w:w="1587"/>
          </w:tcPr>
          <w:p>
            <w:r>
              <w:rPr>
                <w:sz w:val="18"/>
              </w:rPr>
              <w:t>0.0008</w:t>
            </w:r>
          </w:p>
        </w:tc>
        <w:tc>
          <w:tcPr>
            <w:tcW w:type="dxa" w:w="1417"/>
          </w:tcPr>
          <w:p>
            <w:r>
              <w:rPr>
                <w:sz w:val="18"/>
              </w:rPr>
              <w:t>-50.0%</w:t>
            </w:r>
          </w:p>
        </w:tc>
        <w:tc>
          <w:tcPr>
            <w:tcW w:type="dxa" w:w="1587"/>
          </w:tcPr>
          <w:p>
            <w:r>
              <w:rPr>
                <w:sz w:val="18"/>
              </w:rPr>
              <w:t>0.0119</w:t>
            </w:r>
          </w:p>
        </w:tc>
      </w:tr>
      <w:tr>
        <w:tc>
          <w:tcPr>
            <w:tcW w:type="dxa" w:w="1417"/>
          </w:tcPr>
          <w:p>
            <w:r>
              <w:rPr>
                <w:sz w:val="18"/>
              </w:rPr>
              <w:t>PET</w:t>
            </w:r>
          </w:p>
        </w:tc>
        <w:tc>
          <w:tcPr>
            <w:tcW w:type="dxa" w:w="1417"/>
          </w:tcPr>
          <w:p>
            <w:r>
              <w:rPr>
                <w:sz w:val="18"/>
              </w:rPr>
              <w:t>0.0029</w:t>
            </w:r>
          </w:p>
        </w:tc>
        <w:tc>
          <w:tcPr>
            <w:tcW w:type="dxa" w:w="1587"/>
          </w:tcPr>
          <w:p>
            <w:r>
              <w:rPr>
                <w:sz w:val="18"/>
              </w:rPr>
              <w:t>0.0014</w:t>
            </w:r>
          </w:p>
        </w:tc>
        <w:tc>
          <w:tcPr>
            <w:tcW w:type="dxa" w:w="1417"/>
          </w:tcPr>
          <w:p>
            <w:r>
              <w:rPr>
                <w:sz w:val="18"/>
              </w:rPr>
              <w:t>-50.0%</w:t>
            </w:r>
          </w:p>
        </w:tc>
        <w:tc>
          <w:tcPr>
            <w:tcW w:type="dxa" w:w="1587"/>
          </w:tcPr>
          <w:p>
            <w:r>
              <w:rPr>
                <w:sz w:val="18"/>
              </w:rPr>
              <w:t>0.0195</w:t>
            </w:r>
          </w:p>
        </w:tc>
      </w:tr>
      <w:tr>
        <w:tc>
          <w:tcPr>
            <w:tcW w:type="dxa" w:w="1417"/>
          </w:tcPr>
          <w:p>
            <w:r>
              <w:rPr>
                <w:sz w:val="18"/>
              </w:rPr>
              <w:t>Fabric</w:t>
            </w:r>
          </w:p>
        </w:tc>
        <w:tc>
          <w:tcPr>
            <w:tcW w:type="dxa" w:w="1417"/>
          </w:tcPr>
          <w:p>
            <w:r>
              <w:rPr>
                <w:sz w:val="18"/>
              </w:rPr>
              <w:t>0.0064</w:t>
            </w:r>
          </w:p>
        </w:tc>
        <w:tc>
          <w:tcPr>
            <w:tcW w:type="dxa" w:w="1587"/>
          </w:tcPr>
          <w:p>
            <w:r>
              <w:rPr>
                <w:sz w:val="18"/>
              </w:rPr>
              <w:t>0.0032</w:t>
            </w:r>
          </w:p>
        </w:tc>
        <w:tc>
          <w:tcPr>
            <w:tcW w:type="dxa" w:w="1417"/>
          </w:tcPr>
          <w:p>
            <w:r>
              <w:rPr>
                <w:sz w:val="18"/>
              </w:rPr>
              <w:t>-50.0%</w:t>
            </w:r>
          </w:p>
        </w:tc>
        <w:tc>
          <w:tcPr>
            <w:tcW w:type="dxa" w:w="1587"/>
          </w:tcPr>
          <w:p>
            <w:r>
              <w:rPr>
                <w:sz w:val="18"/>
              </w:rPr>
              <w:t>0.0480</w:t>
            </w:r>
          </w:p>
        </w:tc>
      </w:tr>
      <w:tr>
        <w:tc>
          <w:tcPr>
            <w:tcW w:type="dxa" w:w="1417"/>
          </w:tcPr>
          <w:p>
            <w:r>
              <w:rPr>
                <w:sz w:val="18"/>
              </w:rPr>
              <w:t>Garment</w:t>
            </w:r>
          </w:p>
        </w:tc>
        <w:tc>
          <w:tcPr>
            <w:tcW w:type="dxa" w:w="1417"/>
          </w:tcPr>
          <w:p>
            <w:r>
              <w:rPr>
                <w:sz w:val="18"/>
              </w:rPr>
              <w:t>0.0747</w:t>
            </w:r>
          </w:p>
        </w:tc>
        <w:tc>
          <w:tcPr>
            <w:tcW w:type="dxa" w:w="1587"/>
          </w:tcPr>
          <w:p>
            <w:r>
              <w:rPr>
                <w:sz w:val="18"/>
              </w:rPr>
              <w:t>0.0373</w:t>
            </w:r>
          </w:p>
        </w:tc>
        <w:tc>
          <w:tcPr>
            <w:tcW w:type="dxa" w:w="1417"/>
          </w:tcPr>
          <w:p>
            <w:r>
              <w:rPr>
                <w:sz w:val="18"/>
              </w:rPr>
              <w:t>-50.0%</w:t>
            </w:r>
          </w:p>
        </w:tc>
        <w:tc>
          <w:tcPr>
            <w:tcW w:type="dxa" w:w="1587"/>
          </w:tcPr>
          <w:p>
            <w:r>
              <w:rPr>
                <w:sz w:val="18"/>
              </w:rPr>
              <w:t>0.5276</w:t>
            </w:r>
          </w:p>
        </w:tc>
      </w:tr>
      <w:tr>
        <w:tc>
          <w:tcPr>
            <w:tcW w:type="dxa" w:w="1417"/>
          </w:tcPr>
          <w:p>
            <w:r>
              <w:rPr>
                <w:sz w:val="18"/>
              </w:rPr>
              <w:t>Wholesale</w:t>
            </w:r>
          </w:p>
        </w:tc>
        <w:tc>
          <w:tcPr>
            <w:tcW w:type="dxa" w:w="1417"/>
          </w:tcPr>
          <w:p>
            <w:r>
              <w:rPr>
                <w:sz w:val="18"/>
              </w:rPr>
              <w:t>0.2323</w:t>
            </w:r>
          </w:p>
        </w:tc>
        <w:tc>
          <w:tcPr>
            <w:tcW w:type="dxa" w:w="1587"/>
          </w:tcPr>
          <w:p>
            <w:r>
              <w:rPr>
                <w:sz w:val="18"/>
              </w:rPr>
              <w:t>0.1162</w:t>
            </w:r>
          </w:p>
        </w:tc>
        <w:tc>
          <w:tcPr>
            <w:tcW w:type="dxa" w:w="1417"/>
          </w:tcPr>
          <w:p>
            <w:r>
              <w:rPr>
                <w:sz w:val="18"/>
              </w:rPr>
              <w:t>-50.0%</w:t>
            </w:r>
          </w:p>
        </w:tc>
        <w:tc>
          <w:tcPr>
            <w:tcW w:type="dxa" w:w="1587"/>
          </w:tcPr>
          <w:p>
            <w:r>
              <w:rPr>
                <w:sz w:val="18"/>
              </w:rPr>
              <w:t>1.7025</w:t>
            </w:r>
          </w:p>
        </w:tc>
      </w:tr>
      <w:tr>
        <w:tc>
          <w:tcPr>
            <w:tcW w:type="dxa" w:w="1417"/>
          </w:tcPr>
          <w:p>
            <w:r>
              <w:rPr>
                <w:sz w:val="18"/>
              </w:rPr>
              <w:t>Retail</w:t>
            </w:r>
          </w:p>
        </w:tc>
        <w:tc>
          <w:tcPr>
            <w:tcW w:type="dxa" w:w="1417"/>
          </w:tcPr>
          <w:p>
            <w:r>
              <w:rPr>
                <w:sz w:val="18"/>
              </w:rPr>
              <w:t>1.0000</w:t>
            </w:r>
          </w:p>
        </w:tc>
        <w:tc>
          <w:tcPr>
            <w:tcW w:type="dxa" w:w="1587"/>
          </w:tcPr>
          <w:p>
            <w:r>
              <w:rPr>
                <w:sz w:val="18"/>
              </w:rPr>
              <w:t>0.5160</w:t>
            </w:r>
          </w:p>
        </w:tc>
        <w:tc>
          <w:tcPr>
            <w:tcW w:type="dxa" w:w="1417"/>
          </w:tcPr>
          <w:p>
            <w:r>
              <w:rPr>
                <w:sz w:val="18"/>
              </w:rPr>
              <w:t>-48.4%</w:t>
            </w:r>
          </w:p>
        </w:tc>
        <w:tc>
          <w:tcPr>
            <w:tcW w:type="dxa" w:w="1587"/>
          </w:tcPr>
          <w:p>
            <w:r>
              <w:rPr>
                <w:sz w:val="18"/>
              </w:rPr>
              <w:t>6.2556</w:t>
            </w:r>
          </w:p>
        </w:tc>
      </w:tr>
    </w:tbl>
    <w:p>
      <w:r>
        <w:rPr>
          <w:i/>
          <w:color w:val="646464"/>
          <w:sz w:val="17"/>
        </w:rPr>
        <w:t>Source: Output normalised: retail=1.0 at baseline. Shortage = cumulative unfulfilled demand across all 52 periods. IO model: Dynamic Leontief with transit-time lags and capacity recovery (rate = 4%/wk × B_diag).</w:t>
      </w:r>
    </w:p>
    <w:p>
      <w:pPr>
        <w:jc w:val="both"/>
      </w:pPr>
      <w:r>
        <w:rPr>
          <w:b/>
          <w:i w:val="0"/>
          <w:sz w:val="21"/>
        </w:rPr>
        <w:t>2.2.3  ABM: Bullwhip, Service Levels, Recovery Times</w:t>
      </w:r>
    </w:p>
    <w:tbl>
      <w:tblPr>
        <w:tblStyle w:val="LightShading-Accent1"/>
        <w:tblW w:type="auto" w:w="0"/>
        <w:tblLook w:firstColumn="1" w:firstRow="1" w:lastColumn="0" w:lastRow="0" w:noHBand="0" w:noVBand="1" w:val="04A0"/>
      </w:tblPr>
      <w:tblGrid>
        <w:gridCol w:w="1813"/>
        <w:gridCol w:w="1813"/>
        <w:gridCol w:w="1813"/>
        <w:gridCol w:w="1813"/>
        <w:gridCol w:w="1813"/>
      </w:tblGrid>
      <w:tr>
        <w:tc>
          <w:tcPr>
            <w:tcW w:type="dxa" w:w="1417"/>
          </w:tcPr>
          <w:p>
            <w:r>
              <w:rPr>
                <w:b/>
                <w:sz w:val="18"/>
              </w:rPr>
              <w:t>Sector</w:t>
            </w:r>
          </w:p>
        </w:tc>
        <w:tc>
          <w:tcPr>
            <w:tcW w:type="dxa" w:w="1304"/>
          </w:tcPr>
          <w:p>
            <w:r>
              <w:rPr>
                <w:b/>
                <w:sz w:val="18"/>
              </w:rPr>
              <w:t>Bullwhip Ratio</w:t>
            </w:r>
          </w:p>
        </w:tc>
        <w:tc>
          <w:tcPr>
            <w:tcW w:type="dxa" w:w="1417"/>
          </w:tcPr>
          <w:p>
            <w:r>
              <w:rPr>
                <w:b/>
                <w:sz w:val="18"/>
              </w:rPr>
              <w:t>Service Level (%)</w:t>
            </w:r>
          </w:p>
        </w:tc>
        <w:tc>
          <w:tcPr>
            <w:tcW w:type="dxa" w:w="1304"/>
          </w:tcPr>
          <w:p>
            <w:r>
              <w:rPr>
                <w:b/>
                <w:sz w:val="18"/>
              </w:rPr>
              <w:t>Fill Rate (%)</w:t>
            </w:r>
          </w:p>
        </w:tc>
        <w:tc>
          <w:tcPr>
            <w:tcW w:type="dxa" w:w="1417"/>
          </w:tcPr>
          <w:p>
            <w:r>
              <w:rPr>
                <w:b/>
                <w:sz w:val="18"/>
              </w:rPr>
              <w:t>Recovery Time</w:t>
            </w:r>
          </w:p>
        </w:tc>
      </w:tr>
      <w:tr>
        <w:tc>
          <w:tcPr>
            <w:tcW w:type="dxa" w:w="1417"/>
          </w:tcPr>
          <w:p>
            <w:r>
              <w:rPr>
                <w:sz w:val="18"/>
              </w:rPr>
              <w:t>Oil</w:t>
            </w:r>
          </w:p>
        </w:tc>
        <w:tc>
          <w:tcPr>
            <w:tcW w:type="dxa" w:w="1304"/>
          </w:tcPr>
          <w:p>
            <w:r>
              <w:rPr>
                <w:sz w:val="18"/>
              </w:rPr>
              <w:t>1.00×</w:t>
            </w:r>
          </w:p>
        </w:tc>
        <w:tc>
          <w:tcPr>
            <w:tcW w:type="dxa" w:w="1417"/>
          </w:tcPr>
          <w:p>
            <w:r>
              <w:rPr>
                <w:sz w:val="18"/>
              </w:rPr>
              <w:t>100.0%</w:t>
            </w:r>
          </w:p>
        </w:tc>
        <w:tc>
          <w:tcPr>
            <w:tcW w:type="dxa" w:w="1304"/>
          </w:tcPr>
          <w:p>
            <w:r>
              <w:rPr>
                <w:sz w:val="18"/>
              </w:rPr>
              <w:t>100.0%</w:t>
            </w:r>
          </w:p>
        </w:tc>
        <w:tc>
          <w:tcPr>
            <w:tcW w:type="dxa" w:w="1417"/>
          </w:tcPr>
          <w:p>
            <w:r>
              <w:rPr>
                <w:sz w:val="18"/>
              </w:rPr>
              <w:t>0 wk</w:t>
            </w:r>
          </w:p>
        </w:tc>
      </w:tr>
      <w:tr>
        <w:tc>
          <w:tcPr>
            <w:tcW w:type="dxa" w:w="1417"/>
          </w:tcPr>
          <w:p>
            <w:r>
              <w:rPr>
                <w:sz w:val="18"/>
              </w:rPr>
              <w:t>Chemical</w:t>
            </w:r>
          </w:p>
        </w:tc>
        <w:tc>
          <w:tcPr>
            <w:tcW w:type="dxa" w:w="1304"/>
          </w:tcPr>
          <w:p>
            <w:r>
              <w:rPr>
                <w:sz w:val="18"/>
              </w:rPr>
              <w:t>1.00×</w:t>
            </w:r>
          </w:p>
        </w:tc>
        <w:tc>
          <w:tcPr>
            <w:tcW w:type="dxa" w:w="1417"/>
          </w:tcPr>
          <w:p>
            <w:r>
              <w:rPr>
                <w:sz w:val="18"/>
              </w:rPr>
              <w:t>100.0%</w:t>
            </w:r>
          </w:p>
        </w:tc>
        <w:tc>
          <w:tcPr>
            <w:tcW w:type="dxa" w:w="1304"/>
          </w:tcPr>
          <w:p>
            <w:r>
              <w:rPr>
                <w:sz w:val="18"/>
              </w:rPr>
              <w:t>100.0%</w:t>
            </w:r>
          </w:p>
        </w:tc>
        <w:tc>
          <w:tcPr>
            <w:tcW w:type="dxa" w:w="1417"/>
          </w:tcPr>
          <w:p>
            <w:r>
              <w:rPr>
                <w:sz w:val="18"/>
              </w:rPr>
              <w:t>0 wk</w:t>
            </w:r>
          </w:p>
        </w:tc>
      </w:tr>
      <w:tr>
        <w:tc>
          <w:tcPr>
            <w:tcW w:type="dxa" w:w="1417"/>
          </w:tcPr>
          <w:p>
            <w:r>
              <w:rPr>
                <w:sz w:val="18"/>
              </w:rPr>
              <w:t>PTA</w:t>
            </w:r>
          </w:p>
        </w:tc>
        <w:tc>
          <w:tcPr>
            <w:tcW w:type="dxa" w:w="1304"/>
          </w:tcPr>
          <w:p>
            <w:r>
              <w:rPr>
                <w:sz w:val="18"/>
              </w:rPr>
              <w:t>1.00×</w:t>
            </w:r>
          </w:p>
        </w:tc>
        <w:tc>
          <w:tcPr>
            <w:tcW w:type="dxa" w:w="1417"/>
          </w:tcPr>
          <w:p>
            <w:r>
              <w:rPr>
                <w:sz w:val="18"/>
              </w:rPr>
              <w:t>100.0%</w:t>
            </w:r>
          </w:p>
        </w:tc>
        <w:tc>
          <w:tcPr>
            <w:tcW w:type="dxa" w:w="1304"/>
          </w:tcPr>
          <w:p>
            <w:r>
              <w:rPr>
                <w:sz w:val="18"/>
              </w:rPr>
              <w:t>100.0%</w:t>
            </w:r>
          </w:p>
        </w:tc>
        <w:tc>
          <w:tcPr>
            <w:tcW w:type="dxa" w:w="1417"/>
          </w:tcPr>
          <w:p>
            <w:r>
              <w:rPr>
                <w:sz w:val="18"/>
              </w:rPr>
              <w:t>21 wk</w:t>
            </w:r>
          </w:p>
        </w:tc>
      </w:tr>
      <w:tr>
        <w:tc>
          <w:tcPr>
            <w:tcW w:type="dxa" w:w="1417"/>
          </w:tcPr>
          <w:p>
            <w:r>
              <w:rPr>
                <w:sz w:val="18"/>
              </w:rPr>
              <w:t>PET</w:t>
            </w:r>
          </w:p>
        </w:tc>
        <w:tc>
          <w:tcPr>
            <w:tcW w:type="dxa" w:w="1304"/>
          </w:tcPr>
          <w:p>
            <w:r>
              <w:rPr>
                <w:sz w:val="18"/>
              </w:rPr>
              <w:t>1.00×</w:t>
            </w:r>
          </w:p>
        </w:tc>
        <w:tc>
          <w:tcPr>
            <w:tcW w:type="dxa" w:w="1417"/>
          </w:tcPr>
          <w:p>
            <w:r>
              <w:rPr>
                <w:sz w:val="18"/>
              </w:rPr>
              <w:t>100.0%</w:t>
            </w:r>
          </w:p>
        </w:tc>
        <w:tc>
          <w:tcPr>
            <w:tcW w:type="dxa" w:w="1304"/>
          </w:tcPr>
          <w:p>
            <w:r>
              <w:rPr>
                <w:sz w:val="18"/>
              </w:rPr>
              <w:t>100.0%</w:t>
            </w:r>
          </w:p>
        </w:tc>
        <w:tc>
          <w:tcPr>
            <w:tcW w:type="dxa" w:w="1417"/>
          </w:tcPr>
          <w:p>
            <w:r>
              <w:rPr>
                <w:sz w:val="18"/>
              </w:rPr>
              <w:t>8 wk</w:t>
            </w:r>
          </w:p>
        </w:tc>
      </w:tr>
      <w:tr>
        <w:tc>
          <w:tcPr>
            <w:tcW w:type="dxa" w:w="1417"/>
          </w:tcPr>
          <w:p>
            <w:r>
              <w:rPr>
                <w:sz w:val="18"/>
              </w:rPr>
              <w:t>Fabric</w:t>
            </w:r>
          </w:p>
        </w:tc>
        <w:tc>
          <w:tcPr>
            <w:tcW w:type="dxa" w:w="1304"/>
          </w:tcPr>
          <w:p>
            <w:r>
              <w:rPr>
                <w:sz w:val="18"/>
              </w:rPr>
              <w:t>1.00×</w:t>
            </w:r>
          </w:p>
        </w:tc>
        <w:tc>
          <w:tcPr>
            <w:tcW w:type="dxa" w:w="1417"/>
          </w:tcPr>
          <w:p>
            <w:r>
              <w:rPr>
                <w:sz w:val="18"/>
              </w:rPr>
              <w:t>100.0%</w:t>
            </w:r>
          </w:p>
        </w:tc>
        <w:tc>
          <w:tcPr>
            <w:tcW w:type="dxa" w:w="1304"/>
          </w:tcPr>
          <w:p>
            <w:r>
              <w:rPr>
                <w:sz w:val="18"/>
              </w:rPr>
              <w:t>100.0%</w:t>
            </w:r>
          </w:p>
        </w:tc>
        <w:tc>
          <w:tcPr>
            <w:tcW w:type="dxa" w:w="1417"/>
          </w:tcPr>
          <w:p>
            <w:r>
              <w:rPr>
                <w:sz w:val="18"/>
              </w:rPr>
              <w:t>5 wk</w:t>
            </w:r>
          </w:p>
        </w:tc>
      </w:tr>
      <w:tr>
        <w:tc>
          <w:tcPr>
            <w:tcW w:type="dxa" w:w="1417"/>
          </w:tcPr>
          <w:p>
            <w:r>
              <w:rPr>
                <w:sz w:val="18"/>
              </w:rPr>
              <w:t>Garment</w:t>
            </w:r>
          </w:p>
        </w:tc>
        <w:tc>
          <w:tcPr>
            <w:tcW w:type="dxa" w:w="1304"/>
          </w:tcPr>
          <w:p>
            <w:r>
              <w:rPr>
                <w:sz w:val="18"/>
              </w:rPr>
              <w:t>1.00×</w:t>
            </w:r>
          </w:p>
        </w:tc>
        <w:tc>
          <w:tcPr>
            <w:tcW w:type="dxa" w:w="1417"/>
          </w:tcPr>
          <w:p>
            <w:r>
              <w:rPr>
                <w:sz w:val="18"/>
              </w:rPr>
              <w:t>100.0%</w:t>
            </w:r>
          </w:p>
        </w:tc>
        <w:tc>
          <w:tcPr>
            <w:tcW w:type="dxa" w:w="1304"/>
          </w:tcPr>
          <w:p>
            <w:r>
              <w:rPr>
                <w:sz w:val="18"/>
              </w:rPr>
              <w:t>100.0%</w:t>
            </w:r>
          </w:p>
        </w:tc>
        <w:tc>
          <w:tcPr>
            <w:tcW w:type="dxa" w:w="1417"/>
          </w:tcPr>
          <w:p>
            <w:r>
              <w:rPr>
                <w:sz w:val="18"/>
              </w:rPr>
              <w:t>0 wk</w:t>
            </w:r>
          </w:p>
        </w:tc>
      </w:tr>
      <w:tr>
        <w:tc>
          <w:tcPr>
            <w:tcW w:type="dxa" w:w="1417"/>
          </w:tcPr>
          <w:p>
            <w:r>
              <w:rPr>
                <w:sz w:val="18"/>
              </w:rPr>
              <w:t>Wholesale</w:t>
            </w:r>
          </w:p>
        </w:tc>
        <w:tc>
          <w:tcPr>
            <w:tcW w:type="dxa" w:w="1304"/>
          </w:tcPr>
          <w:p>
            <w:r>
              <w:rPr>
                <w:sz w:val="18"/>
              </w:rPr>
              <w:t>0.99×</w:t>
            </w:r>
          </w:p>
        </w:tc>
        <w:tc>
          <w:tcPr>
            <w:tcW w:type="dxa" w:w="1417"/>
          </w:tcPr>
          <w:p>
            <w:r>
              <w:rPr>
                <w:sz w:val="18"/>
              </w:rPr>
              <w:t>100.0%</w:t>
            </w:r>
          </w:p>
        </w:tc>
        <w:tc>
          <w:tcPr>
            <w:tcW w:type="dxa" w:w="1304"/>
          </w:tcPr>
          <w:p>
            <w:r>
              <w:rPr>
                <w:sz w:val="18"/>
              </w:rPr>
              <w:t>100.0%</w:t>
            </w:r>
          </w:p>
        </w:tc>
        <w:tc>
          <w:tcPr>
            <w:tcW w:type="dxa" w:w="1417"/>
          </w:tcPr>
          <w:p>
            <w:r>
              <w:rPr>
                <w:sz w:val="18"/>
              </w:rPr>
              <w:t>0 wk</w:t>
            </w:r>
          </w:p>
        </w:tc>
      </w:tr>
      <w:tr>
        <w:tc>
          <w:tcPr>
            <w:tcW w:type="dxa" w:w="1417"/>
          </w:tcPr>
          <w:p>
            <w:r>
              <w:rPr>
                <w:sz w:val="18"/>
              </w:rPr>
              <w:t>Retail</w:t>
            </w:r>
          </w:p>
        </w:tc>
        <w:tc>
          <w:tcPr>
            <w:tcW w:type="dxa" w:w="1304"/>
          </w:tcPr>
          <w:p>
            <w:r>
              <w:rPr>
                <w:sz w:val="18"/>
              </w:rPr>
              <w:t>1.00×</w:t>
            </w:r>
          </w:p>
        </w:tc>
        <w:tc>
          <w:tcPr>
            <w:tcW w:type="dxa" w:w="1417"/>
          </w:tcPr>
          <w:p>
            <w:r>
              <w:rPr>
                <w:sz w:val="18"/>
              </w:rPr>
              <w:t>100.0%</w:t>
            </w:r>
          </w:p>
        </w:tc>
        <w:tc>
          <w:tcPr>
            <w:tcW w:type="dxa" w:w="1304"/>
          </w:tcPr>
          <w:p>
            <w:r>
              <w:rPr>
                <w:sz w:val="18"/>
              </w:rPr>
              <w:t>100.0%</w:t>
            </w:r>
          </w:p>
        </w:tc>
        <w:tc>
          <w:tcPr>
            <w:tcW w:type="dxa" w:w="1417"/>
          </w:tcPr>
          <w:p>
            <w:r>
              <w:rPr>
                <w:sz w:val="18"/>
              </w:rPr>
              <w:t>0 wk</w:t>
            </w:r>
          </w:p>
        </w:tc>
      </w:tr>
    </w:tbl>
    <w:p>
      <w:r>
        <w:rPr>
          <w:i/>
          <w:color w:val="646464"/>
          <w:sz w:val="17"/>
        </w:rPr>
        <w:t>Source: Bullwhip Ratio = Var(sector orders) / Var(retail orders). Service Level = fraction of periods with zero shortage. Fill Rate = 1 − total_shortage / total_orders. Recovery Time = weeks from shock onset until capacity ≥ 95% baseline. 'No recovery' = sector does not recover within 52-week window. ABM: Beer Distribution Game, Sterman (1989) θ=4 anchored order rule, 3 agents per sector, exponential smoothing α=0.3.</w:t>
      </w:r>
    </w:p>
    <w:p>
      <w:pPr>
        <w:jc w:val="both"/>
      </w:pPr>
      <w:r>
        <w:rPr>
          <w:b/>
          <w:i w:val="0"/>
          <w:sz w:val="21"/>
        </w:rPr>
        <w:t>Summary for S1: IO supply shortage loss £1.410bn; CGE welfare loss £3.582bn; maximum CGE price rise 13.7% at PTA.</w:t>
      </w:r>
    </w:p>
    <w:p/>
    <w:p>
      <w:pPr>
        <w:pStyle w:val="Heading3"/>
      </w:pPr>
      <w:r>
        <w:t>S2: MEG Supply Disruption</w:t>
      </w:r>
    </w:p>
    <w:p>
      <w:pPr>
        <w:jc w:val="both"/>
      </w:pPr>
      <w:r>
        <w:rPr>
          <w:b w:val="0"/>
          <w:i w:val="0"/>
          <w:sz w:val="21"/>
        </w:rPr>
        <w:t>Saudi MEG (monoethylene glycol) export disruption via Red Sea/Strait of Hormuz route denial. China imports 43% of world MEG, mainly from Saudi Arabia (SABIC/Jubail United Petrochemical). Chinese port MEG inventory buffer: 688kt across Zhangjiagang (418kt), Jiangyin (134kt), Taicang (85kt), Ningbo (51kt) — approximately 3 weeks of consumption. After buffer exhaustion (week 7), PET output falls. Chemical_Processing shock −25%; PET −20% from week 7. Duration: 20 weeks.</w:t>
      </w:r>
    </w:p>
    <w:p>
      <w:pPr>
        <w:jc w:val="both"/>
      </w:pPr>
      <w:r>
        <w:rPr>
          <w:b w:val="0"/>
          <w:i/>
          <w:sz w:val="19"/>
        </w:rPr>
        <w:t>Calibration: cge_supply: Chemical=0.75, PET=0.80. io_shocks: Chemical −25%, PTA −10%, PET −20%. abm_schedule: Saudi_Arabia Chemical severity 0.60 duration 8wk; China Chemical severity 0.26 duration 8wk; China PET severity 0.25 duration 10wk (wk7). Reference: Logistics_Price_Info.pptx; 688kt MEG port inventory; SABIC Jubail capacity.</w:t>
      </w:r>
    </w:p>
    <w:p>
      <w:pPr>
        <w:jc w:val="both"/>
      </w:pPr>
      <w:r>
        <w:rPr>
          <w:b/>
          <w:i w:val="0"/>
          <w:sz w:val="21"/>
        </w:rPr>
        <w:t>2.2.1  CGE Equilibrium Prices</w:t>
      </w:r>
    </w:p>
    <w:tbl>
      <w:tblPr>
        <w:tblStyle w:val="LightShading-Accent1"/>
        <w:tblW w:type="auto" w:w="0"/>
        <w:tblLook w:firstColumn="1" w:firstRow="1" w:lastColumn="0" w:lastRow="0" w:noHBand="0" w:noVBand="1" w:val="04A0"/>
      </w:tblPr>
      <w:tblGrid>
        <w:gridCol w:w="2266"/>
        <w:gridCol w:w="2266"/>
        <w:gridCol w:w="2266"/>
        <w:gridCol w:w="2266"/>
      </w:tblGrid>
      <w:tr>
        <w:tc>
          <w:tcPr>
            <w:tcW w:type="dxa" w:w="1417"/>
          </w:tcPr>
          <w:p>
            <w:r>
              <w:rPr>
                <w:b/>
                <w:sz w:val="18"/>
              </w:rPr>
              <w:t>Sector</w:t>
            </w:r>
          </w:p>
        </w:tc>
        <w:tc>
          <w:tcPr>
            <w:tcW w:type="dxa" w:w="1814"/>
          </w:tcPr>
          <w:p>
            <w:r>
              <w:rPr>
                <w:b/>
                <w:sz w:val="18"/>
              </w:rPr>
              <w:t>Avg Price Index (×baseline)</w:t>
            </w:r>
          </w:p>
        </w:tc>
        <w:tc>
          <w:tcPr>
            <w:tcW w:type="dxa" w:w="1701"/>
          </w:tcPr>
          <w:p>
            <w:r>
              <w:rPr>
                <w:b/>
                <w:sz w:val="18"/>
              </w:rPr>
              <w:t>% Change from Baseline</w:t>
            </w:r>
          </w:p>
        </w:tc>
        <w:tc>
          <w:tcPr>
            <w:tcW w:type="dxa" w:w="1701"/>
          </w:tcPr>
          <w:p>
            <w:r>
              <w:rPr>
                <w:b/>
                <w:sz w:val="18"/>
              </w:rPr>
              <w:t>Interpretation</w:t>
            </w:r>
          </w:p>
        </w:tc>
      </w:tr>
      <w:tr>
        <w:tc>
          <w:tcPr>
            <w:tcW w:type="dxa" w:w="1417"/>
          </w:tcPr>
          <w:p>
            <w:r>
              <w:rPr>
                <w:sz w:val="18"/>
              </w:rPr>
              <w:t>Oil</w:t>
            </w:r>
          </w:p>
        </w:tc>
        <w:tc>
          <w:tcPr>
            <w:tcW w:type="dxa" w:w="1814"/>
          </w:tcPr>
          <w:p>
            <w:r>
              <w:rPr>
                <w:sz w:val="18"/>
              </w:rPr>
              <w:t>1.0000</w:t>
            </w:r>
          </w:p>
        </w:tc>
        <w:tc>
          <w:tcPr>
            <w:tcW w:type="dxa" w:w="1701"/>
          </w:tcPr>
          <w:p>
            <w:r>
              <w:rPr>
                <w:sz w:val="18"/>
              </w:rPr>
              <w:t>+0.00%</w:t>
            </w:r>
          </w:p>
        </w:tc>
        <w:tc>
          <w:tcPr>
            <w:tcW w:type="dxa" w:w="1701"/>
          </w:tcPr>
          <w:p>
            <w:r>
              <w:rPr>
                <w:sz w:val="18"/>
              </w:rPr>
              <w:t>Negligible</w:t>
            </w:r>
          </w:p>
        </w:tc>
      </w:tr>
      <w:tr>
        <w:tc>
          <w:tcPr>
            <w:tcW w:type="dxa" w:w="1417"/>
          </w:tcPr>
          <w:p>
            <w:r>
              <w:rPr>
                <w:sz w:val="18"/>
              </w:rPr>
              <w:t>Chemical</w:t>
            </w:r>
          </w:p>
        </w:tc>
        <w:tc>
          <w:tcPr>
            <w:tcW w:type="dxa" w:w="1814"/>
          </w:tcPr>
          <w:p>
            <w:r>
              <w:rPr>
                <w:sz w:val="18"/>
              </w:rPr>
              <w:t>1.0129</w:t>
            </w:r>
          </w:p>
        </w:tc>
        <w:tc>
          <w:tcPr>
            <w:tcW w:type="dxa" w:w="1701"/>
          </w:tcPr>
          <w:p>
            <w:r>
              <w:rPr>
                <w:sz w:val="18"/>
              </w:rPr>
              <w:t>+1.29%</w:t>
            </w:r>
          </w:p>
        </w:tc>
        <w:tc>
          <w:tcPr>
            <w:tcW w:type="dxa" w:w="1701"/>
          </w:tcPr>
          <w:p>
            <w:r>
              <w:rPr>
                <w:sz w:val="18"/>
              </w:rPr>
              <w:t>Minor</w:t>
            </w:r>
          </w:p>
        </w:tc>
      </w:tr>
      <w:tr>
        <w:tc>
          <w:tcPr>
            <w:tcW w:type="dxa" w:w="1417"/>
          </w:tcPr>
          <w:p>
            <w:r>
              <w:rPr>
                <w:sz w:val="18"/>
              </w:rPr>
              <w:t>PTA</w:t>
            </w:r>
          </w:p>
        </w:tc>
        <w:tc>
          <w:tcPr>
            <w:tcW w:type="dxa" w:w="1814"/>
          </w:tcPr>
          <w:p>
            <w:r>
              <w:rPr>
                <w:sz w:val="18"/>
              </w:rPr>
              <w:t>1.0097</w:t>
            </w:r>
          </w:p>
        </w:tc>
        <w:tc>
          <w:tcPr>
            <w:tcW w:type="dxa" w:w="1701"/>
          </w:tcPr>
          <w:p>
            <w:r>
              <w:rPr>
                <w:sz w:val="18"/>
              </w:rPr>
              <w:t>+0.97%</w:t>
            </w:r>
          </w:p>
        </w:tc>
        <w:tc>
          <w:tcPr>
            <w:tcW w:type="dxa" w:w="1701"/>
          </w:tcPr>
          <w:p>
            <w:r>
              <w:rPr>
                <w:sz w:val="18"/>
              </w:rPr>
              <w:t>Minor</w:t>
            </w:r>
          </w:p>
        </w:tc>
      </w:tr>
      <w:tr>
        <w:tc>
          <w:tcPr>
            <w:tcW w:type="dxa" w:w="1417"/>
          </w:tcPr>
          <w:p>
            <w:r>
              <w:rPr>
                <w:sz w:val="18"/>
              </w:rPr>
              <w:t>PET</w:t>
            </w:r>
          </w:p>
        </w:tc>
        <w:tc>
          <w:tcPr>
            <w:tcW w:type="dxa" w:w="1814"/>
          </w:tcPr>
          <w:p>
            <w:r>
              <w:rPr>
                <w:sz w:val="18"/>
              </w:rPr>
              <w:t>1.0142</w:t>
            </w:r>
          </w:p>
        </w:tc>
        <w:tc>
          <w:tcPr>
            <w:tcW w:type="dxa" w:w="1701"/>
          </w:tcPr>
          <w:p>
            <w:r>
              <w:rPr>
                <w:sz w:val="18"/>
              </w:rPr>
              <w:t>+1.42%</w:t>
            </w:r>
          </w:p>
        </w:tc>
        <w:tc>
          <w:tcPr>
            <w:tcW w:type="dxa" w:w="1701"/>
          </w:tcPr>
          <w:p>
            <w:r>
              <w:rPr>
                <w:sz w:val="18"/>
              </w:rPr>
              <w:t>Minor</w:t>
            </w:r>
          </w:p>
        </w:tc>
      </w:tr>
      <w:tr>
        <w:tc>
          <w:tcPr>
            <w:tcW w:type="dxa" w:w="1417"/>
          </w:tcPr>
          <w:p>
            <w:r>
              <w:rPr>
                <w:sz w:val="18"/>
              </w:rPr>
              <w:t>Fabric</w:t>
            </w:r>
          </w:p>
        </w:tc>
        <w:tc>
          <w:tcPr>
            <w:tcW w:type="dxa" w:w="1814"/>
          </w:tcPr>
          <w:p>
            <w:r>
              <w:rPr>
                <w:sz w:val="18"/>
              </w:rPr>
              <w:t>1.0089</w:t>
            </w:r>
          </w:p>
        </w:tc>
        <w:tc>
          <w:tcPr>
            <w:tcW w:type="dxa" w:w="1701"/>
          </w:tcPr>
          <w:p>
            <w:r>
              <w:rPr>
                <w:sz w:val="18"/>
              </w:rPr>
              <w:t>+0.89%</w:t>
            </w:r>
          </w:p>
        </w:tc>
        <w:tc>
          <w:tcPr>
            <w:tcW w:type="dxa" w:w="1701"/>
          </w:tcPr>
          <w:p>
            <w:r>
              <w:rPr>
                <w:sz w:val="18"/>
              </w:rPr>
              <w:t>Minor</w:t>
            </w:r>
          </w:p>
        </w:tc>
      </w:tr>
      <w:tr>
        <w:tc>
          <w:tcPr>
            <w:tcW w:type="dxa" w:w="1417"/>
          </w:tcPr>
          <w:p>
            <w:r>
              <w:rPr>
                <w:sz w:val="18"/>
              </w:rPr>
              <w:t>Garment</w:t>
            </w:r>
          </w:p>
        </w:tc>
        <w:tc>
          <w:tcPr>
            <w:tcW w:type="dxa" w:w="1814"/>
          </w:tcPr>
          <w:p>
            <w:r>
              <w:rPr>
                <w:sz w:val="18"/>
              </w:rPr>
              <w:t>1.0056</w:t>
            </w:r>
          </w:p>
        </w:tc>
        <w:tc>
          <w:tcPr>
            <w:tcW w:type="dxa" w:w="1701"/>
          </w:tcPr>
          <w:p>
            <w:r>
              <w:rPr>
                <w:sz w:val="18"/>
              </w:rPr>
              <w:t>+0.56%</w:t>
            </w:r>
          </w:p>
        </w:tc>
        <w:tc>
          <w:tcPr>
            <w:tcW w:type="dxa" w:w="1701"/>
          </w:tcPr>
          <w:p>
            <w:r>
              <w:rPr>
                <w:sz w:val="18"/>
              </w:rPr>
              <w:t>Minor</w:t>
            </w:r>
          </w:p>
        </w:tc>
      </w:tr>
      <w:tr>
        <w:tc>
          <w:tcPr>
            <w:tcW w:type="dxa" w:w="1417"/>
          </w:tcPr>
          <w:p>
            <w:r>
              <w:rPr>
                <w:sz w:val="18"/>
              </w:rPr>
              <w:t>Wholesale</w:t>
            </w:r>
          </w:p>
        </w:tc>
        <w:tc>
          <w:tcPr>
            <w:tcW w:type="dxa" w:w="1814"/>
          </w:tcPr>
          <w:p>
            <w:r>
              <w:rPr>
                <w:sz w:val="18"/>
              </w:rPr>
              <w:t>1.0064</w:t>
            </w:r>
          </w:p>
        </w:tc>
        <w:tc>
          <w:tcPr>
            <w:tcW w:type="dxa" w:w="1701"/>
          </w:tcPr>
          <w:p>
            <w:r>
              <w:rPr>
                <w:sz w:val="18"/>
              </w:rPr>
              <w:t>+0.64%</w:t>
            </w:r>
          </w:p>
        </w:tc>
        <w:tc>
          <w:tcPr>
            <w:tcW w:type="dxa" w:w="1701"/>
          </w:tcPr>
          <w:p>
            <w:r>
              <w:rPr>
                <w:sz w:val="18"/>
              </w:rPr>
              <w:t>Minor</w:t>
            </w:r>
          </w:p>
        </w:tc>
      </w:tr>
      <w:tr>
        <w:tc>
          <w:tcPr>
            <w:tcW w:type="dxa" w:w="1417"/>
          </w:tcPr>
          <w:p>
            <w:r>
              <w:rPr>
                <w:sz w:val="18"/>
              </w:rPr>
              <w:t>Retail</w:t>
            </w:r>
          </w:p>
        </w:tc>
        <w:tc>
          <w:tcPr>
            <w:tcW w:type="dxa" w:w="1814"/>
          </w:tcPr>
          <w:p>
            <w:r>
              <w:rPr>
                <w:sz w:val="18"/>
              </w:rPr>
              <w:t>1.0038</w:t>
            </w:r>
          </w:p>
        </w:tc>
        <w:tc>
          <w:tcPr>
            <w:tcW w:type="dxa" w:w="1701"/>
          </w:tcPr>
          <w:p>
            <w:r>
              <w:rPr>
                <w:sz w:val="18"/>
              </w:rPr>
              <w:t>+0.38%</w:t>
            </w:r>
          </w:p>
        </w:tc>
        <w:tc>
          <w:tcPr>
            <w:tcW w:type="dxa" w:w="1701"/>
          </w:tcPr>
          <w:p>
            <w:r>
              <w:rPr>
                <w:sz w:val="18"/>
              </w:rPr>
              <w:t>Negligible</w:t>
            </w:r>
          </w:p>
        </w:tc>
      </w:tr>
    </w:tbl>
    <w:p>
      <w:pPr>
        <w:jc w:val="both"/>
      </w:pPr>
      <w:r>
        <w:rPr>
          <w:b w:val="0"/>
          <w:i/>
          <w:sz w:val="20"/>
        </w:rPr>
        <w:t>Period-average welfare change: £-0.403bn (loss).  Peak period price: 1.158×baseline.</w:t>
      </w:r>
    </w:p>
    <w:p>
      <w:pPr>
        <w:jc w:val="both"/>
      </w:pPr>
      <w:r>
        <w:rPr>
          <w:b/>
          <w:i w:val="0"/>
          <w:sz w:val="21"/>
        </w:rPr>
        <w:t>2.2.2  IO Model: Worst-Week Output Drop and Shortage</w:t>
      </w:r>
    </w:p>
    <w:tbl>
      <w:tblPr>
        <w:tblStyle w:val="LightShading-Accent1"/>
        <w:tblW w:type="auto" w:w="0"/>
        <w:tblLook w:firstColumn="1" w:firstRow="1" w:lastColumn="0" w:lastRow="0" w:noHBand="0" w:noVBand="1" w:val="04A0"/>
      </w:tblPr>
      <w:tblGrid>
        <w:gridCol w:w="1813"/>
        <w:gridCol w:w="1813"/>
        <w:gridCol w:w="1813"/>
        <w:gridCol w:w="1813"/>
        <w:gridCol w:w="1813"/>
      </w:tblGrid>
      <w:tr>
        <w:tc>
          <w:tcPr>
            <w:tcW w:type="dxa" w:w="1417"/>
          </w:tcPr>
          <w:p>
            <w:r>
              <w:rPr>
                <w:b/>
                <w:sz w:val="18"/>
              </w:rPr>
              <w:t>Sector</w:t>
            </w:r>
          </w:p>
        </w:tc>
        <w:tc>
          <w:tcPr>
            <w:tcW w:type="dxa" w:w="1417"/>
          </w:tcPr>
          <w:p>
            <w:r>
              <w:rPr>
                <w:b/>
                <w:sz w:val="18"/>
              </w:rPr>
              <w:t>Baseline Output (norm.)</w:t>
            </w:r>
          </w:p>
        </w:tc>
        <w:tc>
          <w:tcPr>
            <w:tcW w:type="dxa" w:w="1587"/>
          </w:tcPr>
          <w:p>
            <w:r>
              <w:rPr>
                <w:b/>
                <w:sz w:val="18"/>
              </w:rPr>
              <w:t>Worst-Week Output (norm.)</w:t>
            </w:r>
          </w:p>
        </w:tc>
        <w:tc>
          <w:tcPr>
            <w:tcW w:type="dxa" w:w="1417"/>
          </w:tcPr>
          <w:p>
            <w:r>
              <w:rPr>
                <w:b/>
                <w:sz w:val="18"/>
              </w:rPr>
              <w:t>Max Output Drop (%)</w:t>
            </w:r>
          </w:p>
        </w:tc>
        <w:tc>
          <w:tcPr>
            <w:tcW w:type="dxa" w:w="1587"/>
          </w:tcPr>
          <w:p>
            <w:r>
              <w:rPr>
                <w:b/>
                <w:sz w:val="18"/>
              </w:rPr>
              <w:t>Total Shortage (norm.)</w:t>
            </w:r>
          </w:p>
        </w:tc>
      </w:tr>
      <w:tr>
        <w:tc>
          <w:tcPr>
            <w:tcW w:type="dxa" w:w="1417"/>
          </w:tcPr>
          <w:p>
            <w:r>
              <w:rPr>
                <w:sz w:val="18"/>
              </w:rPr>
              <w:t>Oil</w:t>
            </w:r>
          </w:p>
        </w:tc>
        <w:tc>
          <w:tcPr>
            <w:tcW w:type="dxa" w:w="1417"/>
          </w:tcPr>
          <w:p>
            <w:r>
              <w:rPr>
                <w:sz w:val="18"/>
              </w:rPr>
              <w:t>0.0005</w:t>
            </w:r>
          </w:p>
        </w:tc>
        <w:tc>
          <w:tcPr>
            <w:tcW w:type="dxa" w:w="1587"/>
          </w:tcPr>
          <w:p>
            <w:r>
              <w:rPr>
                <w:sz w:val="18"/>
              </w:rPr>
              <w:t>0.0005</w:t>
            </w:r>
          </w:p>
        </w:tc>
        <w:tc>
          <w:tcPr>
            <w:tcW w:type="dxa" w:w="1417"/>
          </w:tcPr>
          <w:p>
            <w:r>
              <w:rPr>
                <w:sz w:val="18"/>
              </w:rPr>
              <w:t>+0.0%</w:t>
            </w:r>
          </w:p>
        </w:tc>
        <w:tc>
          <w:tcPr>
            <w:tcW w:type="dxa" w:w="1587"/>
          </w:tcPr>
          <w:p>
            <w:r>
              <w:rPr>
                <w:sz w:val="18"/>
              </w:rPr>
              <w:t>0.0000</w:t>
            </w:r>
          </w:p>
        </w:tc>
      </w:tr>
      <w:tr>
        <w:tc>
          <w:tcPr>
            <w:tcW w:type="dxa" w:w="1417"/>
          </w:tcPr>
          <w:p>
            <w:r>
              <w:rPr>
                <w:sz w:val="18"/>
              </w:rPr>
              <w:t>Chemical</w:t>
            </w:r>
          </w:p>
        </w:tc>
        <w:tc>
          <w:tcPr>
            <w:tcW w:type="dxa" w:w="1417"/>
          </w:tcPr>
          <w:p>
            <w:r>
              <w:rPr>
                <w:sz w:val="18"/>
              </w:rPr>
              <w:t>0.0021</w:t>
            </w:r>
          </w:p>
        </w:tc>
        <w:tc>
          <w:tcPr>
            <w:tcW w:type="dxa" w:w="1587"/>
          </w:tcPr>
          <w:p>
            <w:r>
              <w:rPr>
                <w:sz w:val="18"/>
              </w:rPr>
              <w:t>0.0015</w:t>
            </w:r>
          </w:p>
        </w:tc>
        <w:tc>
          <w:tcPr>
            <w:tcW w:type="dxa" w:w="1417"/>
          </w:tcPr>
          <w:p>
            <w:r>
              <w:rPr>
                <w:sz w:val="18"/>
              </w:rPr>
              <w:t>-25.0%</w:t>
            </w:r>
          </w:p>
        </w:tc>
        <w:tc>
          <w:tcPr>
            <w:tcW w:type="dxa" w:w="1587"/>
          </w:tcPr>
          <w:p>
            <w:r>
              <w:rPr>
                <w:sz w:val="18"/>
              </w:rPr>
              <w:t>0.0060</w:t>
            </w:r>
          </w:p>
        </w:tc>
      </w:tr>
      <w:tr>
        <w:tc>
          <w:tcPr>
            <w:tcW w:type="dxa" w:w="1417"/>
          </w:tcPr>
          <w:p>
            <w:r>
              <w:rPr>
                <w:sz w:val="18"/>
              </w:rPr>
              <w:t>PTA</w:t>
            </w:r>
          </w:p>
        </w:tc>
        <w:tc>
          <w:tcPr>
            <w:tcW w:type="dxa" w:w="1417"/>
          </w:tcPr>
          <w:p>
            <w:r>
              <w:rPr>
                <w:sz w:val="18"/>
              </w:rPr>
              <w:t>0.0016</w:t>
            </w:r>
          </w:p>
        </w:tc>
        <w:tc>
          <w:tcPr>
            <w:tcW w:type="dxa" w:w="1587"/>
          </w:tcPr>
          <w:p>
            <w:r>
              <w:rPr>
                <w:sz w:val="18"/>
              </w:rPr>
              <w:t>0.0014</w:t>
            </w:r>
          </w:p>
        </w:tc>
        <w:tc>
          <w:tcPr>
            <w:tcW w:type="dxa" w:w="1417"/>
          </w:tcPr>
          <w:p>
            <w:r>
              <w:rPr>
                <w:sz w:val="18"/>
              </w:rPr>
              <w:t>-10.0%</w:t>
            </w:r>
          </w:p>
        </w:tc>
        <w:tc>
          <w:tcPr>
            <w:tcW w:type="dxa" w:w="1587"/>
          </w:tcPr>
          <w:p>
            <w:r>
              <w:rPr>
                <w:sz w:val="18"/>
              </w:rPr>
              <w:t>0.0007</w:t>
            </w:r>
          </w:p>
        </w:tc>
      </w:tr>
      <w:tr>
        <w:tc>
          <w:tcPr>
            <w:tcW w:type="dxa" w:w="1417"/>
          </w:tcPr>
          <w:p>
            <w:r>
              <w:rPr>
                <w:sz w:val="18"/>
              </w:rPr>
              <w:t>PET</w:t>
            </w:r>
          </w:p>
        </w:tc>
        <w:tc>
          <w:tcPr>
            <w:tcW w:type="dxa" w:w="1417"/>
          </w:tcPr>
          <w:p>
            <w:r>
              <w:rPr>
                <w:sz w:val="18"/>
              </w:rPr>
              <w:t>0.0029</w:t>
            </w:r>
          </w:p>
        </w:tc>
        <w:tc>
          <w:tcPr>
            <w:tcW w:type="dxa" w:w="1587"/>
          </w:tcPr>
          <w:p>
            <w:r>
              <w:rPr>
                <w:sz w:val="18"/>
              </w:rPr>
              <w:t>0.0023</w:t>
            </w:r>
          </w:p>
        </w:tc>
        <w:tc>
          <w:tcPr>
            <w:tcW w:type="dxa" w:w="1417"/>
          </w:tcPr>
          <w:p>
            <w:r>
              <w:rPr>
                <w:sz w:val="18"/>
              </w:rPr>
              <w:t>-20.0%</w:t>
            </w:r>
          </w:p>
        </w:tc>
        <w:tc>
          <w:tcPr>
            <w:tcW w:type="dxa" w:w="1587"/>
          </w:tcPr>
          <w:p>
            <w:r>
              <w:rPr>
                <w:sz w:val="18"/>
              </w:rPr>
              <w:t>0.0025</w:t>
            </w:r>
          </w:p>
        </w:tc>
      </w:tr>
      <w:tr>
        <w:tc>
          <w:tcPr>
            <w:tcW w:type="dxa" w:w="1417"/>
          </w:tcPr>
          <w:p>
            <w:r>
              <w:rPr>
                <w:sz w:val="18"/>
              </w:rPr>
              <w:t>Fabric</w:t>
            </w:r>
          </w:p>
        </w:tc>
        <w:tc>
          <w:tcPr>
            <w:tcW w:type="dxa" w:w="1417"/>
          </w:tcPr>
          <w:p>
            <w:r>
              <w:rPr>
                <w:sz w:val="18"/>
              </w:rPr>
              <w:t>0.0064</w:t>
            </w:r>
          </w:p>
        </w:tc>
        <w:tc>
          <w:tcPr>
            <w:tcW w:type="dxa" w:w="1587"/>
          </w:tcPr>
          <w:p>
            <w:r>
              <w:rPr>
                <w:sz w:val="18"/>
              </w:rPr>
              <w:t>0.0051</w:t>
            </w:r>
          </w:p>
        </w:tc>
        <w:tc>
          <w:tcPr>
            <w:tcW w:type="dxa" w:w="1417"/>
          </w:tcPr>
          <w:p>
            <w:r>
              <w:rPr>
                <w:sz w:val="18"/>
              </w:rPr>
              <w:t>-20.0%</w:t>
            </w:r>
          </w:p>
        </w:tc>
        <w:tc>
          <w:tcPr>
            <w:tcW w:type="dxa" w:w="1587"/>
          </w:tcPr>
          <w:p>
            <w:r>
              <w:rPr>
                <w:sz w:val="18"/>
              </w:rPr>
              <w:t>0.0058</w:t>
            </w:r>
          </w:p>
        </w:tc>
      </w:tr>
      <w:tr>
        <w:tc>
          <w:tcPr>
            <w:tcW w:type="dxa" w:w="1417"/>
          </w:tcPr>
          <w:p>
            <w:r>
              <w:rPr>
                <w:sz w:val="18"/>
              </w:rPr>
              <w:t>Garment</w:t>
            </w:r>
          </w:p>
        </w:tc>
        <w:tc>
          <w:tcPr>
            <w:tcW w:type="dxa" w:w="1417"/>
          </w:tcPr>
          <w:p>
            <w:r>
              <w:rPr>
                <w:sz w:val="18"/>
              </w:rPr>
              <w:t>0.0747</w:t>
            </w:r>
          </w:p>
        </w:tc>
        <w:tc>
          <w:tcPr>
            <w:tcW w:type="dxa" w:w="1587"/>
          </w:tcPr>
          <w:p>
            <w:r>
              <w:rPr>
                <w:sz w:val="18"/>
              </w:rPr>
              <w:t>0.0597</w:t>
            </w:r>
          </w:p>
        </w:tc>
        <w:tc>
          <w:tcPr>
            <w:tcW w:type="dxa" w:w="1417"/>
          </w:tcPr>
          <w:p>
            <w:r>
              <w:rPr>
                <w:sz w:val="18"/>
              </w:rPr>
              <w:t>-20.0%</w:t>
            </w:r>
          </w:p>
        </w:tc>
        <w:tc>
          <w:tcPr>
            <w:tcW w:type="dxa" w:w="1587"/>
          </w:tcPr>
          <w:p>
            <w:r>
              <w:rPr>
                <w:sz w:val="18"/>
              </w:rPr>
              <w:t>0.0637</w:t>
            </w:r>
          </w:p>
        </w:tc>
      </w:tr>
      <w:tr>
        <w:tc>
          <w:tcPr>
            <w:tcW w:type="dxa" w:w="1417"/>
          </w:tcPr>
          <w:p>
            <w:r>
              <w:rPr>
                <w:sz w:val="18"/>
              </w:rPr>
              <w:t>Wholesale</w:t>
            </w:r>
          </w:p>
        </w:tc>
        <w:tc>
          <w:tcPr>
            <w:tcW w:type="dxa" w:w="1417"/>
          </w:tcPr>
          <w:p>
            <w:r>
              <w:rPr>
                <w:sz w:val="18"/>
              </w:rPr>
              <w:t>0.2323</w:t>
            </w:r>
          </w:p>
        </w:tc>
        <w:tc>
          <w:tcPr>
            <w:tcW w:type="dxa" w:w="1587"/>
          </w:tcPr>
          <w:p>
            <w:r>
              <w:rPr>
                <w:sz w:val="18"/>
              </w:rPr>
              <w:t>0.1858</w:t>
            </w:r>
          </w:p>
        </w:tc>
        <w:tc>
          <w:tcPr>
            <w:tcW w:type="dxa" w:w="1417"/>
          </w:tcPr>
          <w:p>
            <w:r>
              <w:rPr>
                <w:sz w:val="18"/>
              </w:rPr>
              <w:t>-20.0%</w:t>
            </w:r>
          </w:p>
        </w:tc>
        <w:tc>
          <w:tcPr>
            <w:tcW w:type="dxa" w:w="1587"/>
          </w:tcPr>
          <w:p>
            <w:r>
              <w:rPr>
                <w:sz w:val="18"/>
              </w:rPr>
              <w:t>0.2055</w:t>
            </w:r>
          </w:p>
        </w:tc>
      </w:tr>
      <w:tr>
        <w:tc>
          <w:tcPr>
            <w:tcW w:type="dxa" w:w="1417"/>
          </w:tcPr>
          <w:p>
            <w:r>
              <w:rPr>
                <w:sz w:val="18"/>
              </w:rPr>
              <w:t>Retail</w:t>
            </w:r>
          </w:p>
        </w:tc>
        <w:tc>
          <w:tcPr>
            <w:tcW w:type="dxa" w:w="1417"/>
          </w:tcPr>
          <w:p>
            <w:r>
              <w:rPr>
                <w:sz w:val="18"/>
              </w:rPr>
              <w:t>1.0000</w:t>
            </w:r>
          </w:p>
        </w:tc>
        <w:tc>
          <w:tcPr>
            <w:tcW w:type="dxa" w:w="1587"/>
          </w:tcPr>
          <w:p>
            <w:r>
              <w:rPr>
                <w:sz w:val="18"/>
              </w:rPr>
              <w:t>0.8255</w:t>
            </w:r>
          </w:p>
        </w:tc>
        <w:tc>
          <w:tcPr>
            <w:tcW w:type="dxa" w:w="1417"/>
          </w:tcPr>
          <w:p>
            <w:r>
              <w:rPr>
                <w:sz w:val="18"/>
              </w:rPr>
              <w:t>-17.4%</w:t>
            </w:r>
          </w:p>
        </w:tc>
        <w:tc>
          <w:tcPr>
            <w:tcW w:type="dxa" w:w="1587"/>
          </w:tcPr>
          <w:p>
            <w:r>
              <w:rPr>
                <w:sz w:val="18"/>
              </w:rPr>
              <w:t>0.6331</w:t>
            </w:r>
          </w:p>
        </w:tc>
      </w:tr>
    </w:tbl>
    <w:p>
      <w:r>
        <w:rPr>
          <w:i/>
          <w:color w:val="646464"/>
          <w:sz w:val="17"/>
        </w:rPr>
        <w:t>Source: Output normalised: retail=1.0 at baseline. Shortage = cumulative unfulfilled demand across all 52 periods. IO model: Dynamic Leontief with transit-time lags and capacity recovery (rate = 4%/wk × B_diag).</w:t>
      </w:r>
    </w:p>
    <w:p>
      <w:pPr>
        <w:jc w:val="both"/>
      </w:pPr>
      <w:r>
        <w:rPr>
          <w:b/>
          <w:i w:val="0"/>
          <w:sz w:val="21"/>
        </w:rPr>
        <w:t>2.2.3  ABM: Bullwhip, Service Levels, Recovery Times</w:t>
      </w:r>
    </w:p>
    <w:tbl>
      <w:tblPr>
        <w:tblStyle w:val="LightShading-Accent1"/>
        <w:tblW w:type="auto" w:w="0"/>
        <w:tblLook w:firstColumn="1" w:firstRow="1" w:lastColumn="0" w:lastRow="0" w:noHBand="0" w:noVBand="1" w:val="04A0"/>
      </w:tblPr>
      <w:tblGrid>
        <w:gridCol w:w="1813"/>
        <w:gridCol w:w="1813"/>
        <w:gridCol w:w="1813"/>
        <w:gridCol w:w="1813"/>
        <w:gridCol w:w="1813"/>
      </w:tblGrid>
      <w:tr>
        <w:tc>
          <w:tcPr>
            <w:tcW w:type="dxa" w:w="1417"/>
          </w:tcPr>
          <w:p>
            <w:r>
              <w:rPr>
                <w:b/>
                <w:sz w:val="18"/>
              </w:rPr>
              <w:t>Sector</w:t>
            </w:r>
          </w:p>
        </w:tc>
        <w:tc>
          <w:tcPr>
            <w:tcW w:type="dxa" w:w="1304"/>
          </w:tcPr>
          <w:p>
            <w:r>
              <w:rPr>
                <w:b/>
                <w:sz w:val="18"/>
              </w:rPr>
              <w:t>Bullwhip Ratio</w:t>
            </w:r>
          </w:p>
        </w:tc>
        <w:tc>
          <w:tcPr>
            <w:tcW w:type="dxa" w:w="1417"/>
          </w:tcPr>
          <w:p>
            <w:r>
              <w:rPr>
                <w:b/>
                <w:sz w:val="18"/>
              </w:rPr>
              <w:t>Service Level (%)</w:t>
            </w:r>
          </w:p>
        </w:tc>
        <w:tc>
          <w:tcPr>
            <w:tcW w:type="dxa" w:w="1304"/>
          </w:tcPr>
          <w:p>
            <w:r>
              <w:rPr>
                <w:b/>
                <w:sz w:val="18"/>
              </w:rPr>
              <w:t>Fill Rate (%)</w:t>
            </w:r>
          </w:p>
        </w:tc>
        <w:tc>
          <w:tcPr>
            <w:tcW w:type="dxa" w:w="1417"/>
          </w:tcPr>
          <w:p>
            <w:r>
              <w:rPr>
                <w:b/>
                <w:sz w:val="18"/>
              </w:rPr>
              <w:t>Recovery Time</w:t>
            </w:r>
          </w:p>
        </w:tc>
      </w:tr>
      <w:tr>
        <w:tc>
          <w:tcPr>
            <w:tcW w:type="dxa" w:w="1417"/>
          </w:tcPr>
          <w:p>
            <w:r>
              <w:rPr>
                <w:sz w:val="18"/>
              </w:rPr>
              <w:t>Oil</w:t>
            </w:r>
          </w:p>
        </w:tc>
        <w:tc>
          <w:tcPr>
            <w:tcW w:type="dxa" w:w="1304"/>
          </w:tcPr>
          <w:p>
            <w:r>
              <w:rPr>
                <w:sz w:val="18"/>
              </w:rPr>
              <w:t>22.09×</w:t>
            </w:r>
          </w:p>
        </w:tc>
        <w:tc>
          <w:tcPr>
            <w:tcW w:type="dxa" w:w="1417"/>
          </w:tcPr>
          <w:p>
            <w:r>
              <w:rPr>
                <w:sz w:val="18"/>
              </w:rPr>
              <w:t>98.1%</w:t>
            </w:r>
          </w:p>
        </w:tc>
        <w:tc>
          <w:tcPr>
            <w:tcW w:type="dxa" w:w="1304"/>
          </w:tcPr>
          <w:p>
            <w:r>
              <w:rPr>
                <w:sz w:val="18"/>
              </w:rPr>
              <w:t>98.6%</w:t>
            </w:r>
          </w:p>
        </w:tc>
        <w:tc>
          <w:tcPr>
            <w:tcW w:type="dxa" w:w="1417"/>
          </w:tcPr>
          <w:p>
            <w:r>
              <w:rPr>
                <w:sz w:val="18"/>
              </w:rPr>
              <w:t>0 wk</w:t>
            </w:r>
          </w:p>
        </w:tc>
      </w:tr>
      <w:tr>
        <w:tc>
          <w:tcPr>
            <w:tcW w:type="dxa" w:w="1417"/>
          </w:tcPr>
          <w:p>
            <w:r>
              <w:rPr>
                <w:sz w:val="18"/>
              </w:rPr>
              <w:t>Chemical</w:t>
            </w:r>
          </w:p>
        </w:tc>
        <w:tc>
          <w:tcPr>
            <w:tcW w:type="dxa" w:w="1304"/>
          </w:tcPr>
          <w:p>
            <w:r>
              <w:rPr>
                <w:sz w:val="18"/>
              </w:rPr>
              <w:t>7.80×</w:t>
            </w:r>
          </w:p>
        </w:tc>
        <w:tc>
          <w:tcPr>
            <w:tcW w:type="dxa" w:w="1417"/>
          </w:tcPr>
          <w:p>
            <w:r>
              <w:rPr>
                <w:sz w:val="18"/>
              </w:rPr>
              <w:t>100.0%</w:t>
            </w:r>
          </w:p>
        </w:tc>
        <w:tc>
          <w:tcPr>
            <w:tcW w:type="dxa" w:w="1304"/>
          </w:tcPr>
          <w:p>
            <w:r>
              <w:rPr>
                <w:sz w:val="18"/>
              </w:rPr>
              <w:t>100.0%</w:t>
            </w:r>
          </w:p>
        </w:tc>
        <w:tc>
          <w:tcPr>
            <w:tcW w:type="dxa" w:w="1417"/>
          </w:tcPr>
          <w:p>
            <w:r>
              <w:rPr>
                <w:sz w:val="18"/>
              </w:rPr>
              <w:t>13 wk</w:t>
            </w:r>
          </w:p>
        </w:tc>
      </w:tr>
      <w:tr>
        <w:tc>
          <w:tcPr>
            <w:tcW w:type="dxa" w:w="1417"/>
          </w:tcPr>
          <w:p>
            <w:r>
              <w:rPr>
                <w:sz w:val="18"/>
              </w:rPr>
              <w:t>PTA</w:t>
            </w:r>
          </w:p>
        </w:tc>
        <w:tc>
          <w:tcPr>
            <w:tcW w:type="dxa" w:w="1304"/>
          </w:tcPr>
          <w:p>
            <w:r>
              <w:rPr>
                <w:sz w:val="18"/>
              </w:rPr>
              <w:t>2.82×</w:t>
            </w:r>
          </w:p>
        </w:tc>
        <w:tc>
          <w:tcPr>
            <w:tcW w:type="dxa" w:w="1417"/>
          </w:tcPr>
          <w:p>
            <w:r>
              <w:rPr>
                <w:sz w:val="18"/>
              </w:rPr>
              <w:t>100.0%</w:t>
            </w:r>
          </w:p>
        </w:tc>
        <w:tc>
          <w:tcPr>
            <w:tcW w:type="dxa" w:w="1304"/>
          </w:tcPr>
          <w:p>
            <w:r>
              <w:rPr>
                <w:sz w:val="18"/>
              </w:rPr>
              <w:t>100.0%</w:t>
            </w:r>
          </w:p>
        </w:tc>
        <w:tc>
          <w:tcPr>
            <w:tcW w:type="dxa" w:w="1417"/>
          </w:tcPr>
          <w:p>
            <w:r>
              <w:rPr>
                <w:sz w:val="18"/>
              </w:rPr>
              <w:t>2 wk</w:t>
            </w:r>
          </w:p>
        </w:tc>
      </w:tr>
      <w:tr>
        <w:tc>
          <w:tcPr>
            <w:tcW w:type="dxa" w:w="1417"/>
          </w:tcPr>
          <w:p>
            <w:r>
              <w:rPr>
                <w:sz w:val="18"/>
              </w:rPr>
              <w:t>PET</w:t>
            </w:r>
          </w:p>
        </w:tc>
        <w:tc>
          <w:tcPr>
            <w:tcW w:type="dxa" w:w="1304"/>
          </w:tcPr>
          <w:p>
            <w:r>
              <w:rPr>
                <w:sz w:val="18"/>
              </w:rPr>
              <w:t>1.43×</w:t>
            </w:r>
          </w:p>
        </w:tc>
        <w:tc>
          <w:tcPr>
            <w:tcW w:type="dxa" w:w="1417"/>
          </w:tcPr>
          <w:p>
            <w:r>
              <w:rPr>
                <w:sz w:val="18"/>
              </w:rPr>
              <w:t>100.0%</w:t>
            </w:r>
          </w:p>
        </w:tc>
        <w:tc>
          <w:tcPr>
            <w:tcW w:type="dxa" w:w="1304"/>
          </w:tcPr>
          <w:p>
            <w:r>
              <w:rPr>
                <w:sz w:val="18"/>
              </w:rPr>
              <w:t>100.0%</w:t>
            </w:r>
          </w:p>
        </w:tc>
        <w:tc>
          <w:tcPr>
            <w:tcW w:type="dxa" w:w="1417"/>
          </w:tcPr>
          <w:p>
            <w:r>
              <w:rPr>
                <w:sz w:val="18"/>
              </w:rPr>
              <w:t>5 wk</w:t>
            </w:r>
          </w:p>
        </w:tc>
      </w:tr>
      <w:tr>
        <w:tc>
          <w:tcPr>
            <w:tcW w:type="dxa" w:w="1417"/>
          </w:tcPr>
          <w:p>
            <w:r>
              <w:rPr>
                <w:sz w:val="18"/>
              </w:rPr>
              <w:t>Fabric</w:t>
            </w:r>
          </w:p>
        </w:tc>
        <w:tc>
          <w:tcPr>
            <w:tcW w:type="dxa" w:w="1304"/>
          </w:tcPr>
          <w:p>
            <w:r>
              <w:rPr>
                <w:sz w:val="18"/>
              </w:rPr>
              <w:t>0.97×</w:t>
            </w:r>
          </w:p>
        </w:tc>
        <w:tc>
          <w:tcPr>
            <w:tcW w:type="dxa" w:w="1417"/>
          </w:tcPr>
          <w:p>
            <w:r>
              <w:rPr>
                <w:sz w:val="18"/>
              </w:rPr>
              <w:t>100.0%</w:t>
            </w:r>
          </w:p>
        </w:tc>
        <w:tc>
          <w:tcPr>
            <w:tcW w:type="dxa" w:w="1304"/>
          </w:tcPr>
          <w:p>
            <w:r>
              <w:rPr>
                <w:sz w:val="18"/>
              </w:rPr>
              <w:t>100.0%</w:t>
            </w:r>
          </w:p>
        </w:tc>
        <w:tc>
          <w:tcPr>
            <w:tcW w:type="dxa" w:w="1417"/>
          </w:tcPr>
          <w:p>
            <w:r>
              <w:rPr>
                <w:sz w:val="18"/>
              </w:rPr>
              <w:t>0 wk</w:t>
            </w:r>
          </w:p>
        </w:tc>
      </w:tr>
      <w:tr>
        <w:tc>
          <w:tcPr>
            <w:tcW w:type="dxa" w:w="1417"/>
          </w:tcPr>
          <w:p>
            <w:r>
              <w:rPr>
                <w:sz w:val="18"/>
              </w:rPr>
              <w:t>Garment</w:t>
            </w:r>
          </w:p>
        </w:tc>
        <w:tc>
          <w:tcPr>
            <w:tcW w:type="dxa" w:w="1304"/>
          </w:tcPr>
          <w:p>
            <w:r>
              <w:rPr>
                <w:sz w:val="18"/>
              </w:rPr>
              <w:t>0.80×</w:t>
            </w:r>
          </w:p>
        </w:tc>
        <w:tc>
          <w:tcPr>
            <w:tcW w:type="dxa" w:w="1417"/>
          </w:tcPr>
          <w:p>
            <w:r>
              <w:rPr>
                <w:sz w:val="18"/>
              </w:rPr>
              <w:t>100.0%</w:t>
            </w:r>
          </w:p>
        </w:tc>
        <w:tc>
          <w:tcPr>
            <w:tcW w:type="dxa" w:w="1304"/>
          </w:tcPr>
          <w:p>
            <w:r>
              <w:rPr>
                <w:sz w:val="18"/>
              </w:rPr>
              <w:t>100.0%</w:t>
            </w:r>
          </w:p>
        </w:tc>
        <w:tc>
          <w:tcPr>
            <w:tcW w:type="dxa" w:w="1417"/>
          </w:tcPr>
          <w:p>
            <w:r>
              <w:rPr>
                <w:sz w:val="18"/>
              </w:rPr>
              <w:t>0 wk</w:t>
            </w:r>
          </w:p>
        </w:tc>
      </w:tr>
      <w:tr>
        <w:tc>
          <w:tcPr>
            <w:tcW w:type="dxa" w:w="1417"/>
          </w:tcPr>
          <w:p>
            <w:r>
              <w:rPr>
                <w:sz w:val="18"/>
              </w:rPr>
              <w:t>Wholesale</w:t>
            </w:r>
          </w:p>
        </w:tc>
        <w:tc>
          <w:tcPr>
            <w:tcW w:type="dxa" w:w="1304"/>
          </w:tcPr>
          <w:p>
            <w:r>
              <w:rPr>
                <w:sz w:val="18"/>
              </w:rPr>
              <w:t>0.73×</w:t>
            </w:r>
          </w:p>
        </w:tc>
        <w:tc>
          <w:tcPr>
            <w:tcW w:type="dxa" w:w="1417"/>
          </w:tcPr>
          <w:p>
            <w:r>
              <w:rPr>
                <w:sz w:val="18"/>
              </w:rPr>
              <w:t>100.0%</w:t>
            </w:r>
          </w:p>
        </w:tc>
        <w:tc>
          <w:tcPr>
            <w:tcW w:type="dxa" w:w="1304"/>
          </w:tcPr>
          <w:p>
            <w:r>
              <w:rPr>
                <w:sz w:val="18"/>
              </w:rPr>
              <w:t>100.0%</w:t>
            </w:r>
          </w:p>
        </w:tc>
        <w:tc>
          <w:tcPr>
            <w:tcW w:type="dxa" w:w="1417"/>
          </w:tcPr>
          <w:p>
            <w:r>
              <w:rPr>
                <w:sz w:val="18"/>
              </w:rPr>
              <w:t>0 wk</w:t>
            </w:r>
          </w:p>
        </w:tc>
      </w:tr>
      <w:tr>
        <w:tc>
          <w:tcPr>
            <w:tcW w:type="dxa" w:w="1417"/>
          </w:tcPr>
          <w:p>
            <w:r>
              <w:rPr>
                <w:sz w:val="18"/>
              </w:rPr>
              <w:t>Retail</w:t>
            </w:r>
          </w:p>
        </w:tc>
        <w:tc>
          <w:tcPr>
            <w:tcW w:type="dxa" w:w="1304"/>
          </w:tcPr>
          <w:p>
            <w:r>
              <w:rPr>
                <w:sz w:val="18"/>
              </w:rPr>
              <w:t>1.00×</w:t>
            </w:r>
          </w:p>
        </w:tc>
        <w:tc>
          <w:tcPr>
            <w:tcW w:type="dxa" w:w="1417"/>
          </w:tcPr>
          <w:p>
            <w:r>
              <w:rPr>
                <w:sz w:val="18"/>
              </w:rPr>
              <w:t>100.0%</w:t>
            </w:r>
          </w:p>
        </w:tc>
        <w:tc>
          <w:tcPr>
            <w:tcW w:type="dxa" w:w="1304"/>
          </w:tcPr>
          <w:p>
            <w:r>
              <w:rPr>
                <w:sz w:val="18"/>
              </w:rPr>
              <w:t>100.0%</w:t>
            </w:r>
          </w:p>
        </w:tc>
        <w:tc>
          <w:tcPr>
            <w:tcW w:type="dxa" w:w="1417"/>
          </w:tcPr>
          <w:p>
            <w:r>
              <w:rPr>
                <w:sz w:val="18"/>
              </w:rPr>
              <w:t>0 wk</w:t>
            </w:r>
          </w:p>
        </w:tc>
      </w:tr>
    </w:tbl>
    <w:p>
      <w:r>
        <w:rPr>
          <w:i/>
          <w:color w:val="646464"/>
          <w:sz w:val="17"/>
        </w:rPr>
        <w:t>Source: Bullwhip Ratio = Var(sector orders) / Var(retail orders). Service Level = fraction of periods with zero shortage. Fill Rate = 1 − total_shortage / total_orders. Recovery Time = weeks from shock onset until capacity ≥ 95% baseline. 'No recovery' = sector does not recover within 52-week window. ABM: Beer Distribution Game, Sterman (1989) θ=4 anchored order rule, 3 agents per sector, exponential smoothing α=0.3.</w:t>
      </w:r>
    </w:p>
    <w:p>
      <w:pPr>
        <w:jc w:val="both"/>
      </w:pPr>
      <w:r>
        <w:rPr>
          <w:b/>
          <w:i w:val="0"/>
          <w:sz w:val="21"/>
        </w:rPr>
        <w:t>Summary for S2: IO supply shortage loss £0.143bn; CGE welfare loss £0.403bn; maximum CGE price rise 1.4% at PET.</w:t>
      </w:r>
    </w:p>
    <w:p/>
    <w:p>
      <w:pPr>
        <w:pStyle w:val="Heading3"/>
      </w:pPr>
      <w:r>
        <w:t>S3: UK–China Geopolitical Trade Restriction</w:t>
      </w:r>
    </w:p>
    <w:p>
      <w:pPr>
        <w:jc w:val="both"/>
      </w:pPr>
      <w:r>
        <w:rPr>
          <w:b w:val="0"/>
          <w:i w:val="0"/>
          <w:sz w:val="21"/>
        </w:rPr>
        <w:t>UK imposes a 35% ad valorem tariff on Chinese synthetic apparel imports and Chinese fabrics/PET, reflecting a geopolitical trade restriction scenario. China's direct share of UK synthetic apparel: 27.3% (HMRC 2023). Effective dependency: ~60% when Bangladesh and Vietnam garment assembly sourcing of Chinese fabric is included (RiSC report). The scenario captures the structural reality that diversified final-stage sourcing does not eliminate China exposure at upstream fabric and PET stages. Duration: 52 weeks.</w:t>
      </w:r>
    </w:p>
    <w:p>
      <w:pPr>
        <w:jc w:val="both"/>
      </w:pPr>
      <w:r>
        <w:rPr>
          <w:b w:val="0"/>
          <w:i/>
          <w:sz w:val="19"/>
        </w:rPr>
        <w:t>Calibration: cge_supply: Garment=0.65, Fabric=0.80. tariffs: Garment=0.35, Fabric=0.35, PET=0.15. io_shocks: Garment −35%, Fabric −20% (onset week 1). abm_schedule: China Garment severity 0.90 duration 52wk; Bangladesh Garment severity 0.40 duration 52wk; China Fabric severity 0.40 duration 52wk. Reference: HMRC 2023 imports; RiSC report effective China dependency ~60%.</w:t>
      </w:r>
    </w:p>
    <w:p>
      <w:pPr>
        <w:jc w:val="both"/>
      </w:pPr>
      <w:r>
        <w:rPr>
          <w:b/>
          <w:i w:val="0"/>
          <w:sz w:val="21"/>
        </w:rPr>
        <w:t>2.2.1  CGE Equilibrium Prices</w:t>
      </w:r>
    </w:p>
    <w:tbl>
      <w:tblPr>
        <w:tblStyle w:val="LightShading-Accent1"/>
        <w:tblW w:type="auto" w:w="0"/>
        <w:tblLook w:firstColumn="1" w:firstRow="1" w:lastColumn="0" w:lastRow="0" w:noHBand="0" w:noVBand="1" w:val="04A0"/>
      </w:tblPr>
      <w:tblGrid>
        <w:gridCol w:w="2266"/>
        <w:gridCol w:w="2266"/>
        <w:gridCol w:w="2266"/>
        <w:gridCol w:w="2266"/>
      </w:tblGrid>
      <w:tr>
        <w:tc>
          <w:tcPr>
            <w:tcW w:type="dxa" w:w="1417"/>
          </w:tcPr>
          <w:p>
            <w:r>
              <w:rPr>
                <w:b/>
                <w:sz w:val="18"/>
              </w:rPr>
              <w:t>Sector</w:t>
            </w:r>
          </w:p>
        </w:tc>
        <w:tc>
          <w:tcPr>
            <w:tcW w:type="dxa" w:w="1814"/>
          </w:tcPr>
          <w:p>
            <w:r>
              <w:rPr>
                <w:b/>
                <w:sz w:val="18"/>
              </w:rPr>
              <w:t>Avg Price Index (×baseline)</w:t>
            </w:r>
          </w:p>
        </w:tc>
        <w:tc>
          <w:tcPr>
            <w:tcW w:type="dxa" w:w="1701"/>
          </w:tcPr>
          <w:p>
            <w:r>
              <w:rPr>
                <w:b/>
                <w:sz w:val="18"/>
              </w:rPr>
              <w:t>% Change from Baseline</w:t>
            </w:r>
          </w:p>
        </w:tc>
        <w:tc>
          <w:tcPr>
            <w:tcW w:type="dxa" w:w="1701"/>
          </w:tcPr>
          <w:p>
            <w:r>
              <w:rPr>
                <w:b/>
                <w:sz w:val="18"/>
              </w:rPr>
              <w:t>Interpretation</w:t>
            </w:r>
          </w:p>
        </w:tc>
      </w:tr>
      <w:tr>
        <w:tc>
          <w:tcPr>
            <w:tcW w:type="dxa" w:w="1417"/>
          </w:tcPr>
          <w:p>
            <w:r>
              <w:rPr>
                <w:sz w:val="18"/>
              </w:rPr>
              <w:t>Oil</w:t>
            </w:r>
          </w:p>
        </w:tc>
        <w:tc>
          <w:tcPr>
            <w:tcW w:type="dxa" w:w="1814"/>
          </w:tcPr>
          <w:p>
            <w:r>
              <w:rPr>
                <w:sz w:val="18"/>
              </w:rPr>
              <w:t>1.0000</w:t>
            </w:r>
          </w:p>
        </w:tc>
        <w:tc>
          <w:tcPr>
            <w:tcW w:type="dxa" w:w="1701"/>
          </w:tcPr>
          <w:p>
            <w:r>
              <w:rPr>
                <w:sz w:val="18"/>
              </w:rPr>
              <w:t>+0.00%</w:t>
            </w:r>
          </w:p>
        </w:tc>
        <w:tc>
          <w:tcPr>
            <w:tcW w:type="dxa" w:w="1701"/>
          </w:tcPr>
          <w:p>
            <w:r>
              <w:rPr>
                <w:sz w:val="18"/>
              </w:rPr>
              <w:t>Negligible</w:t>
            </w:r>
          </w:p>
        </w:tc>
      </w:tr>
      <w:tr>
        <w:tc>
          <w:tcPr>
            <w:tcW w:type="dxa" w:w="1417"/>
          </w:tcPr>
          <w:p>
            <w:r>
              <w:rPr>
                <w:sz w:val="18"/>
              </w:rPr>
              <w:t>Chemical</w:t>
            </w:r>
          </w:p>
        </w:tc>
        <w:tc>
          <w:tcPr>
            <w:tcW w:type="dxa" w:w="1814"/>
          </w:tcPr>
          <w:p>
            <w:r>
              <w:rPr>
                <w:sz w:val="18"/>
              </w:rPr>
              <w:t>1.0000</w:t>
            </w:r>
          </w:p>
        </w:tc>
        <w:tc>
          <w:tcPr>
            <w:tcW w:type="dxa" w:w="1701"/>
          </w:tcPr>
          <w:p>
            <w:r>
              <w:rPr>
                <w:sz w:val="18"/>
              </w:rPr>
              <w:t>+0.00%</w:t>
            </w:r>
          </w:p>
        </w:tc>
        <w:tc>
          <w:tcPr>
            <w:tcW w:type="dxa" w:w="1701"/>
          </w:tcPr>
          <w:p>
            <w:r>
              <w:rPr>
                <w:sz w:val="18"/>
              </w:rPr>
              <w:t>Negligible</w:t>
            </w:r>
          </w:p>
        </w:tc>
      </w:tr>
      <w:tr>
        <w:tc>
          <w:tcPr>
            <w:tcW w:type="dxa" w:w="1417"/>
          </w:tcPr>
          <w:p>
            <w:r>
              <w:rPr>
                <w:sz w:val="18"/>
              </w:rPr>
              <w:t>PTA</w:t>
            </w:r>
          </w:p>
        </w:tc>
        <w:tc>
          <w:tcPr>
            <w:tcW w:type="dxa" w:w="1814"/>
          </w:tcPr>
          <w:p>
            <w:r>
              <w:rPr>
                <w:sz w:val="18"/>
              </w:rPr>
              <w:t>1.0000</w:t>
            </w:r>
          </w:p>
        </w:tc>
        <w:tc>
          <w:tcPr>
            <w:tcW w:type="dxa" w:w="1701"/>
          </w:tcPr>
          <w:p>
            <w:r>
              <w:rPr>
                <w:sz w:val="18"/>
              </w:rPr>
              <w:t>+0.00%</w:t>
            </w:r>
          </w:p>
        </w:tc>
        <w:tc>
          <w:tcPr>
            <w:tcW w:type="dxa" w:w="1701"/>
          </w:tcPr>
          <w:p>
            <w:r>
              <w:rPr>
                <w:sz w:val="18"/>
              </w:rPr>
              <w:t>Negligible</w:t>
            </w:r>
          </w:p>
        </w:tc>
      </w:tr>
      <w:tr>
        <w:tc>
          <w:tcPr>
            <w:tcW w:type="dxa" w:w="1417"/>
          </w:tcPr>
          <w:p>
            <w:r>
              <w:rPr>
                <w:sz w:val="18"/>
              </w:rPr>
              <w:t>PET</w:t>
            </w:r>
          </w:p>
        </w:tc>
        <w:tc>
          <w:tcPr>
            <w:tcW w:type="dxa" w:w="1814"/>
          </w:tcPr>
          <w:p>
            <w:r>
              <w:rPr>
                <w:sz w:val="18"/>
              </w:rPr>
              <w:t>1.0000</w:t>
            </w:r>
          </w:p>
        </w:tc>
        <w:tc>
          <w:tcPr>
            <w:tcW w:type="dxa" w:w="1701"/>
          </w:tcPr>
          <w:p>
            <w:r>
              <w:rPr>
                <w:sz w:val="18"/>
              </w:rPr>
              <w:t>+0.00%</w:t>
            </w:r>
          </w:p>
        </w:tc>
        <w:tc>
          <w:tcPr>
            <w:tcW w:type="dxa" w:w="1701"/>
          </w:tcPr>
          <w:p>
            <w:r>
              <w:rPr>
                <w:sz w:val="18"/>
              </w:rPr>
              <w:t>Negligible</w:t>
            </w:r>
          </w:p>
        </w:tc>
      </w:tr>
      <w:tr>
        <w:tc>
          <w:tcPr>
            <w:tcW w:type="dxa" w:w="1417"/>
          </w:tcPr>
          <w:p>
            <w:r>
              <w:rPr>
                <w:sz w:val="18"/>
              </w:rPr>
              <w:t>Fabric</w:t>
            </w:r>
          </w:p>
        </w:tc>
        <w:tc>
          <w:tcPr>
            <w:tcW w:type="dxa" w:w="1814"/>
          </w:tcPr>
          <w:p>
            <w:r>
              <w:rPr>
                <w:sz w:val="18"/>
              </w:rPr>
              <w:t>1.0063</w:t>
            </w:r>
          </w:p>
        </w:tc>
        <w:tc>
          <w:tcPr>
            <w:tcW w:type="dxa" w:w="1701"/>
          </w:tcPr>
          <w:p>
            <w:r>
              <w:rPr>
                <w:sz w:val="18"/>
              </w:rPr>
              <w:t>+0.63%</w:t>
            </w:r>
          </w:p>
        </w:tc>
        <w:tc>
          <w:tcPr>
            <w:tcW w:type="dxa" w:w="1701"/>
          </w:tcPr>
          <w:p>
            <w:r>
              <w:rPr>
                <w:sz w:val="18"/>
              </w:rPr>
              <w:t>Minor</w:t>
            </w:r>
          </w:p>
        </w:tc>
      </w:tr>
      <w:tr>
        <w:tc>
          <w:tcPr>
            <w:tcW w:type="dxa" w:w="1417"/>
          </w:tcPr>
          <w:p>
            <w:r>
              <w:rPr>
                <w:sz w:val="18"/>
              </w:rPr>
              <w:t>Garment</w:t>
            </w:r>
          </w:p>
        </w:tc>
        <w:tc>
          <w:tcPr>
            <w:tcW w:type="dxa" w:w="1814"/>
          </w:tcPr>
          <w:p>
            <w:r>
              <w:rPr>
                <w:sz w:val="18"/>
              </w:rPr>
              <w:t>1.0152</w:t>
            </w:r>
          </w:p>
        </w:tc>
        <w:tc>
          <w:tcPr>
            <w:tcW w:type="dxa" w:w="1701"/>
          </w:tcPr>
          <w:p>
            <w:r>
              <w:rPr>
                <w:sz w:val="18"/>
              </w:rPr>
              <w:t>+1.52%</w:t>
            </w:r>
          </w:p>
        </w:tc>
        <w:tc>
          <w:tcPr>
            <w:tcW w:type="dxa" w:w="1701"/>
          </w:tcPr>
          <w:p>
            <w:r>
              <w:rPr>
                <w:sz w:val="18"/>
              </w:rPr>
              <w:t>Minor</w:t>
            </w:r>
          </w:p>
        </w:tc>
      </w:tr>
      <w:tr>
        <w:tc>
          <w:tcPr>
            <w:tcW w:type="dxa" w:w="1417"/>
          </w:tcPr>
          <w:p>
            <w:r>
              <w:rPr>
                <w:sz w:val="18"/>
              </w:rPr>
              <w:t>Wholesale</w:t>
            </w:r>
          </w:p>
        </w:tc>
        <w:tc>
          <w:tcPr>
            <w:tcW w:type="dxa" w:w="1814"/>
          </w:tcPr>
          <w:p>
            <w:r>
              <w:rPr>
                <w:sz w:val="18"/>
              </w:rPr>
              <w:t>1.0176</w:t>
            </w:r>
          </w:p>
        </w:tc>
        <w:tc>
          <w:tcPr>
            <w:tcW w:type="dxa" w:w="1701"/>
          </w:tcPr>
          <w:p>
            <w:r>
              <w:rPr>
                <w:sz w:val="18"/>
              </w:rPr>
              <w:t>+1.76%</w:t>
            </w:r>
          </w:p>
        </w:tc>
        <w:tc>
          <w:tcPr>
            <w:tcW w:type="dxa" w:w="1701"/>
          </w:tcPr>
          <w:p>
            <w:r>
              <w:rPr>
                <w:sz w:val="18"/>
              </w:rPr>
              <w:t>Minor</w:t>
            </w:r>
          </w:p>
        </w:tc>
      </w:tr>
      <w:tr>
        <w:tc>
          <w:tcPr>
            <w:tcW w:type="dxa" w:w="1417"/>
          </w:tcPr>
          <w:p>
            <w:r>
              <w:rPr>
                <w:sz w:val="18"/>
              </w:rPr>
              <w:t>Retail</w:t>
            </w:r>
          </w:p>
        </w:tc>
        <w:tc>
          <w:tcPr>
            <w:tcW w:type="dxa" w:w="1814"/>
          </w:tcPr>
          <w:p>
            <w:r>
              <w:rPr>
                <w:sz w:val="18"/>
              </w:rPr>
              <w:t>1.0119</w:t>
            </w:r>
          </w:p>
        </w:tc>
        <w:tc>
          <w:tcPr>
            <w:tcW w:type="dxa" w:w="1701"/>
          </w:tcPr>
          <w:p>
            <w:r>
              <w:rPr>
                <w:sz w:val="18"/>
              </w:rPr>
              <w:t>+1.19%</w:t>
            </w:r>
          </w:p>
        </w:tc>
        <w:tc>
          <w:tcPr>
            <w:tcW w:type="dxa" w:w="1701"/>
          </w:tcPr>
          <w:p>
            <w:r>
              <w:rPr>
                <w:sz w:val="18"/>
              </w:rPr>
              <w:t>Minor</w:t>
            </w:r>
          </w:p>
        </w:tc>
      </w:tr>
    </w:tbl>
    <w:p>
      <w:pPr>
        <w:jc w:val="both"/>
      </w:pPr>
      <w:r>
        <w:rPr>
          <w:b w:val="0"/>
          <w:i/>
          <w:sz w:val="20"/>
        </w:rPr>
        <w:t>Period-average welfare change: £-1.044bn (loss).  Peak period price: 1.139×baseline.</w:t>
      </w:r>
    </w:p>
    <w:p>
      <w:pPr>
        <w:jc w:val="both"/>
      </w:pPr>
      <w:r>
        <w:rPr>
          <w:b/>
          <w:i w:val="0"/>
          <w:sz w:val="21"/>
        </w:rPr>
        <w:t>2.2.2  IO Model: Worst-Week Output Drop and Shortage</w:t>
      </w:r>
    </w:p>
    <w:tbl>
      <w:tblPr>
        <w:tblStyle w:val="LightShading-Accent1"/>
        <w:tblW w:type="auto" w:w="0"/>
        <w:tblLook w:firstColumn="1" w:firstRow="1" w:lastColumn="0" w:lastRow="0" w:noHBand="0" w:noVBand="1" w:val="04A0"/>
      </w:tblPr>
      <w:tblGrid>
        <w:gridCol w:w="1813"/>
        <w:gridCol w:w="1813"/>
        <w:gridCol w:w="1813"/>
        <w:gridCol w:w="1813"/>
        <w:gridCol w:w="1813"/>
      </w:tblGrid>
      <w:tr>
        <w:tc>
          <w:tcPr>
            <w:tcW w:type="dxa" w:w="1417"/>
          </w:tcPr>
          <w:p>
            <w:r>
              <w:rPr>
                <w:b/>
                <w:sz w:val="18"/>
              </w:rPr>
              <w:t>Sector</w:t>
            </w:r>
          </w:p>
        </w:tc>
        <w:tc>
          <w:tcPr>
            <w:tcW w:type="dxa" w:w="1417"/>
          </w:tcPr>
          <w:p>
            <w:r>
              <w:rPr>
                <w:b/>
                <w:sz w:val="18"/>
              </w:rPr>
              <w:t>Baseline Output (norm.)</w:t>
            </w:r>
          </w:p>
        </w:tc>
        <w:tc>
          <w:tcPr>
            <w:tcW w:type="dxa" w:w="1587"/>
          </w:tcPr>
          <w:p>
            <w:r>
              <w:rPr>
                <w:b/>
                <w:sz w:val="18"/>
              </w:rPr>
              <w:t>Worst-Week Output (norm.)</w:t>
            </w:r>
          </w:p>
        </w:tc>
        <w:tc>
          <w:tcPr>
            <w:tcW w:type="dxa" w:w="1417"/>
          </w:tcPr>
          <w:p>
            <w:r>
              <w:rPr>
                <w:b/>
                <w:sz w:val="18"/>
              </w:rPr>
              <w:t>Max Output Drop (%)</w:t>
            </w:r>
          </w:p>
        </w:tc>
        <w:tc>
          <w:tcPr>
            <w:tcW w:type="dxa" w:w="1587"/>
          </w:tcPr>
          <w:p>
            <w:r>
              <w:rPr>
                <w:b/>
                <w:sz w:val="18"/>
              </w:rPr>
              <w:t>Total Shortage (norm.)</w:t>
            </w:r>
          </w:p>
        </w:tc>
      </w:tr>
      <w:tr>
        <w:tc>
          <w:tcPr>
            <w:tcW w:type="dxa" w:w="1417"/>
          </w:tcPr>
          <w:p>
            <w:r>
              <w:rPr>
                <w:sz w:val="18"/>
              </w:rPr>
              <w:t>Oil</w:t>
            </w:r>
          </w:p>
        </w:tc>
        <w:tc>
          <w:tcPr>
            <w:tcW w:type="dxa" w:w="1417"/>
          </w:tcPr>
          <w:p>
            <w:r>
              <w:rPr>
                <w:sz w:val="18"/>
              </w:rPr>
              <w:t>0.0005</w:t>
            </w:r>
          </w:p>
        </w:tc>
        <w:tc>
          <w:tcPr>
            <w:tcW w:type="dxa" w:w="1587"/>
          </w:tcPr>
          <w:p>
            <w:r>
              <w:rPr>
                <w:sz w:val="18"/>
              </w:rPr>
              <w:t>0.0005</w:t>
            </w:r>
          </w:p>
        </w:tc>
        <w:tc>
          <w:tcPr>
            <w:tcW w:type="dxa" w:w="1417"/>
          </w:tcPr>
          <w:p>
            <w:r>
              <w:rPr>
                <w:sz w:val="18"/>
              </w:rPr>
              <w:t>+0.0%</w:t>
            </w:r>
          </w:p>
        </w:tc>
        <w:tc>
          <w:tcPr>
            <w:tcW w:type="dxa" w:w="1587"/>
          </w:tcPr>
          <w:p>
            <w:r>
              <w:rPr>
                <w:sz w:val="18"/>
              </w:rPr>
              <w:t>0.0000</w:t>
            </w:r>
          </w:p>
        </w:tc>
      </w:tr>
      <w:tr>
        <w:tc>
          <w:tcPr>
            <w:tcW w:type="dxa" w:w="1417"/>
          </w:tcPr>
          <w:p>
            <w:r>
              <w:rPr>
                <w:sz w:val="18"/>
              </w:rPr>
              <w:t>Chemical</w:t>
            </w:r>
          </w:p>
        </w:tc>
        <w:tc>
          <w:tcPr>
            <w:tcW w:type="dxa" w:w="1417"/>
          </w:tcPr>
          <w:p>
            <w:r>
              <w:rPr>
                <w:sz w:val="18"/>
              </w:rPr>
              <w:t>0.0021</w:t>
            </w:r>
          </w:p>
        </w:tc>
        <w:tc>
          <w:tcPr>
            <w:tcW w:type="dxa" w:w="1587"/>
          </w:tcPr>
          <w:p>
            <w:r>
              <w:rPr>
                <w:sz w:val="18"/>
              </w:rPr>
              <w:t>0.0021</w:t>
            </w:r>
          </w:p>
        </w:tc>
        <w:tc>
          <w:tcPr>
            <w:tcW w:type="dxa" w:w="1417"/>
          </w:tcPr>
          <w:p>
            <w:r>
              <w:rPr>
                <w:sz w:val="18"/>
              </w:rPr>
              <w:t>+0.0%</w:t>
            </w:r>
          </w:p>
        </w:tc>
        <w:tc>
          <w:tcPr>
            <w:tcW w:type="dxa" w:w="1587"/>
          </w:tcPr>
          <w:p>
            <w:r>
              <w:rPr>
                <w:sz w:val="18"/>
              </w:rPr>
              <w:t>0.0000</w:t>
            </w:r>
          </w:p>
        </w:tc>
      </w:tr>
      <w:tr>
        <w:tc>
          <w:tcPr>
            <w:tcW w:type="dxa" w:w="1417"/>
          </w:tcPr>
          <w:p>
            <w:r>
              <w:rPr>
                <w:sz w:val="18"/>
              </w:rPr>
              <w:t>PTA</w:t>
            </w:r>
          </w:p>
        </w:tc>
        <w:tc>
          <w:tcPr>
            <w:tcW w:type="dxa" w:w="1417"/>
          </w:tcPr>
          <w:p>
            <w:r>
              <w:rPr>
                <w:sz w:val="18"/>
              </w:rPr>
              <w:t>0.0016</w:t>
            </w:r>
          </w:p>
        </w:tc>
        <w:tc>
          <w:tcPr>
            <w:tcW w:type="dxa" w:w="1587"/>
          </w:tcPr>
          <w:p>
            <w:r>
              <w:rPr>
                <w:sz w:val="18"/>
              </w:rPr>
              <w:t>0.0016</w:t>
            </w:r>
          </w:p>
        </w:tc>
        <w:tc>
          <w:tcPr>
            <w:tcW w:type="dxa" w:w="1417"/>
          </w:tcPr>
          <w:p>
            <w:r>
              <w:rPr>
                <w:sz w:val="18"/>
              </w:rPr>
              <w:t>+0.0%</w:t>
            </w:r>
          </w:p>
        </w:tc>
        <w:tc>
          <w:tcPr>
            <w:tcW w:type="dxa" w:w="1587"/>
          </w:tcPr>
          <w:p>
            <w:r>
              <w:rPr>
                <w:sz w:val="18"/>
              </w:rPr>
              <w:t>0.0000</w:t>
            </w:r>
          </w:p>
        </w:tc>
      </w:tr>
      <w:tr>
        <w:tc>
          <w:tcPr>
            <w:tcW w:type="dxa" w:w="1417"/>
          </w:tcPr>
          <w:p>
            <w:r>
              <w:rPr>
                <w:sz w:val="18"/>
              </w:rPr>
              <w:t>PET</w:t>
            </w:r>
          </w:p>
        </w:tc>
        <w:tc>
          <w:tcPr>
            <w:tcW w:type="dxa" w:w="1417"/>
          </w:tcPr>
          <w:p>
            <w:r>
              <w:rPr>
                <w:sz w:val="18"/>
              </w:rPr>
              <w:t>0.0029</w:t>
            </w:r>
          </w:p>
        </w:tc>
        <w:tc>
          <w:tcPr>
            <w:tcW w:type="dxa" w:w="1587"/>
          </w:tcPr>
          <w:p>
            <w:r>
              <w:rPr>
                <w:sz w:val="18"/>
              </w:rPr>
              <w:t>0.0029</w:t>
            </w:r>
          </w:p>
        </w:tc>
        <w:tc>
          <w:tcPr>
            <w:tcW w:type="dxa" w:w="1417"/>
          </w:tcPr>
          <w:p>
            <w:r>
              <w:rPr>
                <w:sz w:val="18"/>
              </w:rPr>
              <w:t>+0.0%</w:t>
            </w:r>
          </w:p>
        </w:tc>
        <w:tc>
          <w:tcPr>
            <w:tcW w:type="dxa" w:w="1587"/>
          </w:tcPr>
          <w:p>
            <w:r>
              <w:rPr>
                <w:sz w:val="18"/>
              </w:rPr>
              <w:t>0.0000</w:t>
            </w:r>
          </w:p>
        </w:tc>
      </w:tr>
      <w:tr>
        <w:tc>
          <w:tcPr>
            <w:tcW w:type="dxa" w:w="1417"/>
          </w:tcPr>
          <w:p>
            <w:r>
              <w:rPr>
                <w:sz w:val="18"/>
              </w:rPr>
              <w:t>Fabric</w:t>
            </w:r>
          </w:p>
        </w:tc>
        <w:tc>
          <w:tcPr>
            <w:tcW w:type="dxa" w:w="1417"/>
          </w:tcPr>
          <w:p>
            <w:r>
              <w:rPr>
                <w:sz w:val="18"/>
              </w:rPr>
              <w:t>0.0064</w:t>
            </w:r>
          </w:p>
        </w:tc>
        <w:tc>
          <w:tcPr>
            <w:tcW w:type="dxa" w:w="1587"/>
          </w:tcPr>
          <w:p>
            <w:r>
              <w:rPr>
                <w:sz w:val="18"/>
              </w:rPr>
              <w:t>0.0051</w:t>
            </w:r>
          </w:p>
        </w:tc>
        <w:tc>
          <w:tcPr>
            <w:tcW w:type="dxa" w:w="1417"/>
          </w:tcPr>
          <w:p>
            <w:r>
              <w:rPr>
                <w:sz w:val="18"/>
              </w:rPr>
              <w:t>-20.0%</w:t>
            </w:r>
          </w:p>
        </w:tc>
        <w:tc>
          <w:tcPr>
            <w:tcW w:type="dxa" w:w="1587"/>
          </w:tcPr>
          <w:p>
            <w:r>
              <w:rPr>
                <w:sz w:val="18"/>
              </w:rPr>
              <w:t>0.0069</w:t>
            </w:r>
          </w:p>
        </w:tc>
      </w:tr>
      <w:tr>
        <w:tc>
          <w:tcPr>
            <w:tcW w:type="dxa" w:w="1417"/>
          </w:tcPr>
          <w:p>
            <w:r>
              <w:rPr>
                <w:sz w:val="18"/>
              </w:rPr>
              <w:t>Garment</w:t>
            </w:r>
          </w:p>
        </w:tc>
        <w:tc>
          <w:tcPr>
            <w:tcW w:type="dxa" w:w="1417"/>
          </w:tcPr>
          <w:p>
            <w:r>
              <w:rPr>
                <w:sz w:val="18"/>
              </w:rPr>
              <w:t>0.0747</w:t>
            </w:r>
          </w:p>
        </w:tc>
        <w:tc>
          <w:tcPr>
            <w:tcW w:type="dxa" w:w="1587"/>
          </w:tcPr>
          <w:p>
            <w:r>
              <w:rPr>
                <w:sz w:val="18"/>
              </w:rPr>
              <w:t>0.0485</w:t>
            </w:r>
          </w:p>
        </w:tc>
        <w:tc>
          <w:tcPr>
            <w:tcW w:type="dxa" w:w="1417"/>
          </w:tcPr>
          <w:p>
            <w:r>
              <w:rPr>
                <w:sz w:val="18"/>
              </w:rPr>
              <w:t>-35.0%</w:t>
            </w:r>
          </w:p>
        </w:tc>
        <w:tc>
          <w:tcPr>
            <w:tcW w:type="dxa" w:w="1587"/>
          </w:tcPr>
          <w:p>
            <w:r>
              <w:rPr>
                <w:sz w:val="18"/>
              </w:rPr>
              <w:t>0.1744</w:t>
            </w:r>
          </w:p>
        </w:tc>
      </w:tr>
      <w:tr>
        <w:tc>
          <w:tcPr>
            <w:tcW w:type="dxa" w:w="1417"/>
          </w:tcPr>
          <w:p>
            <w:r>
              <w:rPr>
                <w:sz w:val="18"/>
              </w:rPr>
              <w:t>Wholesale</w:t>
            </w:r>
          </w:p>
        </w:tc>
        <w:tc>
          <w:tcPr>
            <w:tcW w:type="dxa" w:w="1417"/>
          </w:tcPr>
          <w:p>
            <w:r>
              <w:rPr>
                <w:sz w:val="18"/>
              </w:rPr>
              <w:t>0.2323</w:t>
            </w:r>
          </w:p>
        </w:tc>
        <w:tc>
          <w:tcPr>
            <w:tcW w:type="dxa" w:w="1587"/>
          </w:tcPr>
          <w:p>
            <w:r>
              <w:rPr>
                <w:sz w:val="18"/>
              </w:rPr>
              <w:t>0.1510</w:t>
            </w:r>
          </w:p>
        </w:tc>
        <w:tc>
          <w:tcPr>
            <w:tcW w:type="dxa" w:w="1417"/>
          </w:tcPr>
          <w:p>
            <w:r>
              <w:rPr>
                <w:sz w:val="18"/>
              </w:rPr>
              <w:t>-35.0%</w:t>
            </w:r>
          </w:p>
        </w:tc>
        <w:tc>
          <w:tcPr>
            <w:tcW w:type="dxa" w:w="1587"/>
          </w:tcPr>
          <w:p>
            <w:r>
              <w:rPr>
                <w:sz w:val="18"/>
              </w:rPr>
              <w:t>0.5627</w:t>
            </w:r>
          </w:p>
        </w:tc>
      </w:tr>
      <w:tr>
        <w:tc>
          <w:tcPr>
            <w:tcW w:type="dxa" w:w="1417"/>
          </w:tcPr>
          <w:p>
            <w:r>
              <w:rPr>
                <w:sz w:val="18"/>
              </w:rPr>
              <w:t>Retail</w:t>
            </w:r>
          </w:p>
        </w:tc>
        <w:tc>
          <w:tcPr>
            <w:tcW w:type="dxa" w:w="1417"/>
          </w:tcPr>
          <w:p>
            <w:r>
              <w:rPr>
                <w:sz w:val="18"/>
              </w:rPr>
              <w:t>1.0000</w:t>
            </w:r>
          </w:p>
        </w:tc>
        <w:tc>
          <w:tcPr>
            <w:tcW w:type="dxa" w:w="1587"/>
          </w:tcPr>
          <w:p>
            <w:r>
              <w:rPr>
                <w:sz w:val="18"/>
              </w:rPr>
              <w:t>0.6707</w:t>
            </w:r>
          </w:p>
        </w:tc>
        <w:tc>
          <w:tcPr>
            <w:tcW w:type="dxa" w:w="1417"/>
          </w:tcPr>
          <w:p>
            <w:r>
              <w:rPr>
                <w:sz w:val="18"/>
              </w:rPr>
              <w:t>-32.9%</w:t>
            </w:r>
          </w:p>
        </w:tc>
        <w:tc>
          <w:tcPr>
            <w:tcW w:type="dxa" w:w="1587"/>
          </w:tcPr>
          <w:p>
            <w:r>
              <w:rPr>
                <w:sz w:val="18"/>
              </w:rPr>
              <w:t>1.9785</w:t>
            </w:r>
          </w:p>
        </w:tc>
      </w:tr>
    </w:tbl>
    <w:p>
      <w:r>
        <w:rPr>
          <w:i/>
          <w:color w:val="646464"/>
          <w:sz w:val="17"/>
        </w:rPr>
        <w:t>Source: Output normalised: retail=1.0 at baseline. Shortage = cumulative unfulfilled demand across all 52 periods. IO model: Dynamic Leontief with transit-time lags and capacity recovery (rate = 4%/wk × B_diag).</w:t>
      </w:r>
    </w:p>
    <w:p>
      <w:pPr>
        <w:jc w:val="both"/>
      </w:pPr>
      <w:r>
        <w:rPr>
          <w:b/>
          <w:i w:val="0"/>
          <w:sz w:val="21"/>
        </w:rPr>
        <w:t>2.2.3  ABM: Bullwhip, Service Levels, Recovery Times</w:t>
      </w:r>
    </w:p>
    <w:tbl>
      <w:tblPr>
        <w:tblStyle w:val="LightShading-Accent1"/>
        <w:tblW w:type="auto" w:w="0"/>
        <w:tblLook w:firstColumn="1" w:firstRow="1" w:lastColumn="0" w:lastRow="0" w:noHBand="0" w:noVBand="1" w:val="04A0"/>
      </w:tblPr>
      <w:tblGrid>
        <w:gridCol w:w="1813"/>
        <w:gridCol w:w="1813"/>
        <w:gridCol w:w="1813"/>
        <w:gridCol w:w="1813"/>
        <w:gridCol w:w="1813"/>
      </w:tblGrid>
      <w:tr>
        <w:tc>
          <w:tcPr>
            <w:tcW w:type="dxa" w:w="1417"/>
          </w:tcPr>
          <w:p>
            <w:r>
              <w:rPr>
                <w:b/>
                <w:sz w:val="18"/>
              </w:rPr>
              <w:t>Sector</w:t>
            </w:r>
          </w:p>
        </w:tc>
        <w:tc>
          <w:tcPr>
            <w:tcW w:type="dxa" w:w="1304"/>
          </w:tcPr>
          <w:p>
            <w:r>
              <w:rPr>
                <w:b/>
                <w:sz w:val="18"/>
              </w:rPr>
              <w:t>Bullwhip Ratio</w:t>
            </w:r>
          </w:p>
        </w:tc>
        <w:tc>
          <w:tcPr>
            <w:tcW w:type="dxa" w:w="1417"/>
          </w:tcPr>
          <w:p>
            <w:r>
              <w:rPr>
                <w:b/>
                <w:sz w:val="18"/>
              </w:rPr>
              <w:t>Service Level (%)</w:t>
            </w:r>
          </w:p>
        </w:tc>
        <w:tc>
          <w:tcPr>
            <w:tcW w:type="dxa" w:w="1304"/>
          </w:tcPr>
          <w:p>
            <w:r>
              <w:rPr>
                <w:b/>
                <w:sz w:val="18"/>
              </w:rPr>
              <w:t>Fill Rate (%)</w:t>
            </w:r>
          </w:p>
        </w:tc>
        <w:tc>
          <w:tcPr>
            <w:tcW w:type="dxa" w:w="1417"/>
          </w:tcPr>
          <w:p>
            <w:r>
              <w:rPr>
                <w:b/>
                <w:sz w:val="18"/>
              </w:rPr>
              <w:t>Recovery Time</w:t>
            </w:r>
          </w:p>
        </w:tc>
      </w:tr>
      <w:tr>
        <w:tc>
          <w:tcPr>
            <w:tcW w:type="dxa" w:w="1417"/>
          </w:tcPr>
          <w:p>
            <w:r>
              <w:rPr>
                <w:sz w:val="18"/>
              </w:rPr>
              <w:t>Oil</w:t>
            </w:r>
          </w:p>
        </w:tc>
        <w:tc>
          <w:tcPr>
            <w:tcW w:type="dxa" w:w="1304"/>
          </w:tcPr>
          <w:p>
            <w:r>
              <w:rPr>
                <w:sz w:val="18"/>
              </w:rPr>
              <w:t>0.99×</w:t>
            </w:r>
          </w:p>
        </w:tc>
        <w:tc>
          <w:tcPr>
            <w:tcW w:type="dxa" w:w="1417"/>
          </w:tcPr>
          <w:p>
            <w:r>
              <w:rPr>
                <w:sz w:val="18"/>
              </w:rPr>
              <w:t>100.0%</w:t>
            </w:r>
          </w:p>
        </w:tc>
        <w:tc>
          <w:tcPr>
            <w:tcW w:type="dxa" w:w="1304"/>
          </w:tcPr>
          <w:p>
            <w:r>
              <w:rPr>
                <w:sz w:val="18"/>
              </w:rPr>
              <w:t>100.0%</w:t>
            </w:r>
          </w:p>
        </w:tc>
        <w:tc>
          <w:tcPr>
            <w:tcW w:type="dxa" w:w="1417"/>
          </w:tcPr>
          <w:p>
            <w:r>
              <w:rPr>
                <w:sz w:val="18"/>
              </w:rPr>
              <w:t>0 wk</w:t>
            </w:r>
          </w:p>
        </w:tc>
      </w:tr>
      <w:tr>
        <w:tc>
          <w:tcPr>
            <w:tcW w:type="dxa" w:w="1417"/>
          </w:tcPr>
          <w:p>
            <w:r>
              <w:rPr>
                <w:sz w:val="18"/>
              </w:rPr>
              <w:t>Chemical</w:t>
            </w:r>
          </w:p>
        </w:tc>
        <w:tc>
          <w:tcPr>
            <w:tcW w:type="dxa" w:w="1304"/>
          </w:tcPr>
          <w:p>
            <w:r>
              <w:rPr>
                <w:sz w:val="18"/>
              </w:rPr>
              <w:t>0.98×</w:t>
            </w:r>
          </w:p>
        </w:tc>
        <w:tc>
          <w:tcPr>
            <w:tcW w:type="dxa" w:w="1417"/>
          </w:tcPr>
          <w:p>
            <w:r>
              <w:rPr>
                <w:sz w:val="18"/>
              </w:rPr>
              <w:t>100.0%</w:t>
            </w:r>
          </w:p>
        </w:tc>
        <w:tc>
          <w:tcPr>
            <w:tcW w:type="dxa" w:w="1304"/>
          </w:tcPr>
          <w:p>
            <w:r>
              <w:rPr>
                <w:sz w:val="18"/>
              </w:rPr>
              <w:t>100.0%</w:t>
            </w:r>
          </w:p>
        </w:tc>
        <w:tc>
          <w:tcPr>
            <w:tcW w:type="dxa" w:w="1417"/>
          </w:tcPr>
          <w:p>
            <w:r>
              <w:rPr>
                <w:sz w:val="18"/>
              </w:rPr>
              <w:t>0 wk</w:t>
            </w:r>
          </w:p>
        </w:tc>
      </w:tr>
      <w:tr>
        <w:tc>
          <w:tcPr>
            <w:tcW w:type="dxa" w:w="1417"/>
          </w:tcPr>
          <w:p>
            <w:r>
              <w:rPr>
                <w:sz w:val="18"/>
              </w:rPr>
              <w:t>PTA</w:t>
            </w:r>
          </w:p>
        </w:tc>
        <w:tc>
          <w:tcPr>
            <w:tcW w:type="dxa" w:w="1304"/>
          </w:tcPr>
          <w:p>
            <w:r>
              <w:rPr>
                <w:sz w:val="18"/>
              </w:rPr>
              <w:t>0.96×</w:t>
            </w:r>
          </w:p>
        </w:tc>
        <w:tc>
          <w:tcPr>
            <w:tcW w:type="dxa" w:w="1417"/>
          </w:tcPr>
          <w:p>
            <w:r>
              <w:rPr>
                <w:sz w:val="18"/>
              </w:rPr>
              <w:t>100.0%</w:t>
            </w:r>
          </w:p>
        </w:tc>
        <w:tc>
          <w:tcPr>
            <w:tcW w:type="dxa" w:w="1304"/>
          </w:tcPr>
          <w:p>
            <w:r>
              <w:rPr>
                <w:sz w:val="18"/>
              </w:rPr>
              <w:t>100.0%</w:t>
            </w:r>
          </w:p>
        </w:tc>
        <w:tc>
          <w:tcPr>
            <w:tcW w:type="dxa" w:w="1417"/>
          </w:tcPr>
          <w:p>
            <w:r>
              <w:rPr>
                <w:sz w:val="18"/>
              </w:rPr>
              <w:t>0 wk</w:t>
            </w:r>
          </w:p>
        </w:tc>
      </w:tr>
      <w:tr>
        <w:tc>
          <w:tcPr>
            <w:tcW w:type="dxa" w:w="1417"/>
          </w:tcPr>
          <w:p>
            <w:r>
              <w:rPr>
                <w:sz w:val="18"/>
              </w:rPr>
              <w:t>PET</w:t>
            </w:r>
          </w:p>
        </w:tc>
        <w:tc>
          <w:tcPr>
            <w:tcW w:type="dxa" w:w="1304"/>
          </w:tcPr>
          <w:p>
            <w:r>
              <w:rPr>
                <w:sz w:val="18"/>
              </w:rPr>
              <w:t>0.87×</w:t>
            </w:r>
          </w:p>
        </w:tc>
        <w:tc>
          <w:tcPr>
            <w:tcW w:type="dxa" w:w="1417"/>
          </w:tcPr>
          <w:p>
            <w:r>
              <w:rPr>
                <w:sz w:val="18"/>
              </w:rPr>
              <w:t>100.0%</w:t>
            </w:r>
          </w:p>
        </w:tc>
        <w:tc>
          <w:tcPr>
            <w:tcW w:type="dxa" w:w="1304"/>
          </w:tcPr>
          <w:p>
            <w:r>
              <w:rPr>
                <w:sz w:val="18"/>
              </w:rPr>
              <w:t>100.0%</w:t>
            </w:r>
          </w:p>
        </w:tc>
        <w:tc>
          <w:tcPr>
            <w:tcW w:type="dxa" w:w="1417"/>
          </w:tcPr>
          <w:p>
            <w:r>
              <w:rPr>
                <w:sz w:val="18"/>
              </w:rPr>
              <w:t>0 wk</w:t>
            </w:r>
          </w:p>
        </w:tc>
      </w:tr>
      <w:tr>
        <w:tc>
          <w:tcPr>
            <w:tcW w:type="dxa" w:w="1417"/>
          </w:tcPr>
          <w:p>
            <w:r>
              <w:rPr>
                <w:sz w:val="18"/>
              </w:rPr>
              <w:t>Fabric</w:t>
            </w:r>
          </w:p>
        </w:tc>
        <w:tc>
          <w:tcPr>
            <w:tcW w:type="dxa" w:w="1304"/>
          </w:tcPr>
          <w:p>
            <w:r>
              <w:rPr>
                <w:sz w:val="18"/>
              </w:rPr>
              <w:t>0.62×</w:t>
            </w:r>
          </w:p>
        </w:tc>
        <w:tc>
          <w:tcPr>
            <w:tcW w:type="dxa" w:w="1417"/>
          </w:tcPr>
          <w:p>
            <w:r>
              <w:rPr>
                <w:sz w:val="18"/>
              </w:rPr>
              <w:t>100.0%</w:t>
            </w:r>
          </w:p>
        </w:tc>
        <w:tc>
          <w:tcPr>
            <w:tcW w:type="dxa" w:w="1304"/>
          </w:tcPr>
          <w:p>
            <w:r>
              <w:rPr>
                <w:sz w:val="18"/>
              </w:rPr>
              <w:t>100.0%</w:t>
            </w:r>
          </w:p>
        </w:tc>
        <w:tc>
          <w:tcPr>
            <w:tcW w:type="dxa" w:w="1417"/>
          </w:tcPr>
          <w:p>
            <w:r>
              <w:rPr>
                <w:sz w:val="18"/>
              </w:rPr>
              <w:t>6 wk</w:t>
            </w:r>
          </w:p>
        </w:tc>
      </w:tr>
      <w:tr>
        <w:tc>
          <w:tcPr>
            <w:tcW w:type="dxa" w:w="1417"/>
          </w:tcPr>
          <w:p>
            <w:r>
              <w:rPr>
                <w:sz w:val="18"/>
              </w:rPr>
              <w:t>Garment</w:t>
            </w:r>
          </w:p>
        </w:tc>
        <w:tc>
          <w:tcPr>
            <w:tcW w:type="dxa" w:w="1304"/>
          </w:tcPr>
          <w:p>
            <w:r>
              <w:rPr>
                <w:sz w:val="18"/>
              </w:rPr>
              <w:t>0.09×</w:t>
            </w:r>
          </w:p>
        </w:tc>
        <w:tc>
          <w:tcPr>
            <w:tcW w:type="dxa" w:w="1417"/>
          </w:tcPr>
          <w:p>
            <w:r>
              <w:rPr>
                <w:sz w:val="18"/>
              </w:rPr>
              <w:t>100.0%</w:t>
            </w:r>
          </w:p>
        </w:tc>
        <w:tc>
          <w:tcPr>
            <w:tcW w:type="dxa" w:w="1304"/>
          </w:tcPr>
          <w:p>
            <w:r>
              <w:rPr>
                <w:sz w:val="18"/>
              </w:rPr>
              <w:t>100.0%</w:t>
            </w:r>
          </w:p>
        </w:tc>
        <w:tc>
          <w:tcPr>
            <w:tcW w:type="dxa" w:w="1417"/>
          </w:tcPr>
          <w:p>
            <w:r>
              <w:rPr>
                <w:sz w:val="18"/>
              </w:rPr>
              <w:t>9 wk</w:t>
            </w:r>
          </w:p>
        </w:tc>
      </w:tr>
      <w:tr>
        <w:tc>
          <w:tcPr>
            <w:tcW w:type="dxa" w:w="1417"/>
          </w:tcPr>
          <w:p>
            <w:r>
              <w:rPr>
                <w:sz w:val="18"/>
              </w:rPr>
              <w:t>Wholesale</w:t>
            </w:r>
          </w:p>
        </w:tc>
        <w:tc>
          <w:tcPr>
            <w:tcW w:type="dxa" w:w="1304"/>
          </w:tcPr>
          <w:p>
            <w:r>
              <w:rPr>
                <w:sz w:val="18"/>
              </w:rPr>
              <w:t>0.99×</w:t>
            </w:r>
          </w:p>
        </w:tc>
        <w:tc>
          <w:tcPr>
            <w:tcW w:type="dxa" w:w="1417"/>
          </w:tcPr>
          <w:p>
            <w:r>
              <w:rPr>
                <w:sz w:val="18"/>
              </w:rPr>
              <w:t>100.0%</w:t>
            </w:r>
          </w:p>
        </w:tc>
        <w:tc>
          <w:tcPr>
            <w:tcW w:type="dxa" w:w="1304"/>
          </w:tcPr>
          <w:p>
            <w:r>
              <w:rPr>
                <w:sz w:val="18"/>
              </w:rPr>
              <w:t>100.0%</w:t>
            </w:r>
          </w:p>
        </w:tc>
        <w:tc>
          <w:tcPr>
            <w:tcW w:type="dxa" w:w="1417"/>
          </w:tcPr>
          <w:p>
            <w:r>
              <w:rPr>
                <w:sz w:val="18"/>
              </w:rPr>
              <w:t>0 wk</w:t>
            </w:r>
          </w:p>
        </w:tc>
      </w:tr>
      <w:tr>
        <w:tc>
          <w:tcPr>
            <w:tcW w:type="dxa" w:w="1417"/>
          </w:tcPr>
          <w:p>
            <w:r>
              <w:rPr>
                <w:sz w:val="18"/>
              </w:rPr>
              <w:t>Retail</w:t>
            </w:r>
          </w:p>
        </w:tc>
        <w:tc>
          <w:tcPr>
            <w:tcW w:type="dxa" w:w="1304"/>
          </w:tcPr>
          <w:p>
            <w:r>
              <w:rPr>
                <w:sz w:val="18"/>
              </w:rPr>
              <w:t>1.00×</w:t>
            </w:r>
          </w:p>
        </w:tc>
        <w:tc>
          <w:tcPr>
            <w:tcW w:type="dxa" w:w="1417"/>
          </w:tcPr>
          <w:p>
            <w:r>
              <w:rPr>
                <w:sz w:val="18"/>
              </w:rPr>
              <w:t>100.0%</w:t>
            </w:r>
          </w:p>
        </w:tc>
        <w:tc>
          <w:tcPr>
            <w:tcW w:type="dxa" w:w="1304"/>
          </w:tcPr>
          <w:p>
            <w:r>
              <w:rPr>
                <w:sz w:val="18"/>
              </w:rPr>
              <w:t>100.0%</w:t>
            </w:r>
          </w:p>
        </w:tc>
        <w:tc>
          <w:tcPr>
            <w:tcW w:type="dxa" w:w="1417"/>
          </w:tcPr>
          <w:p>
            <w:r>
              <w:rPr>
                <w:sz w:val="18"/>
              </w:rPr>
              <w:t>0 wk</w:t>
            </w:r>
          </w:p>
        </w:tc>
      </w:tr>
    </w:tbl>
    <w:p>
      <w:r>
        <w:rPr>
          <w:i/>
          <w:color w:val="646464"/>
          <w:sz w:val="17"/>
        </w:rPr>
        <w:t>Source: Bullwhip Ratio = Var(sector orders) / Var(retail orders). Service Level = fraction of periods with zero shortage. Fill Rate = 1 − total_shortage / total_orders. Recovery Time = weeks from shock onset until capacity ≥ 95% baseline. 'No recovery' = sector does not recover within 52-week window. ABM: Beer Distribution Game, Sterman (1989) θ=4 anchored order rule, 3 agents per sector, exponential smoothing α=0.3.</w:t>
      </w:r>
    </w:p>
    <w:p>
      <w:pPr>
        <w:jc w:val="both"/>
      </w:pPr>
      <w:r>
        <w:rPr>
          <w:b/>
          <w:i w:val="0"/>
          <w:sz w:val="21"/>
        </w:rPr>
        <w:t>Summary for S3: IO supply shortage loss £0.446bn; CGE welfare loss £1.044bn; maximum CGE price rise 1.8% at Wholesale.</w:t>
      </w:r>
    </w:p>
    <w:p/>
    <w:p>
      <w:pPr>
        <w:pStyle w:val="Heading3"/>
      </w:pPr>
      <w:r>
        <w:t>S4: Zhangjiagang Port Closure</w:t>
      </w:r>
    </w:p>
    <w:p>
      <w:pPr>
        <w:jc w:val="both"/>
      </w:pPr>
      <w:r>
        <w:rPr>
          <w:b w:val="0"/>
          <w:i w:val="0"/>
          <w:sz w:val="21"/>
        </w:rPr>
        <w:t>Zhangjiagang port (Jiangsu Province) closes due to typhoon or COVID-style lockdown. Zhangjiagang holds 418kt MEG inventory (61% of all Chinese port MEG inventory, 688kt total). Yizheng Chemical Fibre (Sinopec subsidiary, world's largest single-site polyester producer) is located in Yizheng, Jiangsu — directly dependent on Zhangjiagang MEG supply. IO shocks: Chemical −20%, PET −30%, Fabric −18%. Duration: 16 weeks.</w:t>
      </w:r>
    </w:p>
    <w:p>
      <w:pPr>
        <w:jc w:val="both"/>
      </w:pPr>
      <w:r>
        <w:rPr>
          <w:b w:val="0"/>
          <w:i/>
          <w:sz w:val="19"/>
        </w:rPr>
        <w:t>Calibration: cge_supply: Chemical=0.80, PET=0.70, Fabric=0.82. io_shocks: Chemical −20%, PET −30%, Fabric −18% (onset week 4). abm_schedule: China PET severity 0.30 duration 6wk; China Chemical severity 0.20 duration 6wk. Reference: Logistics_Price_Info.pptx: Zhangjiagang 418kt; Yizheng Chemical Fibre.</w:t>
      </w:r>
    </w:p>
    <w:p>
      <w:pPr>
        <w:jc w:val="both"/>
      </w:pPr>
      <w:r>
        <w:rPr>
          <w:b/>
          <w:i w:val="0"/>
          <w:sz w:val="21"/>
        </w:rPr>
        <w:t>2.2.1  CGE Equilibrium Prices</w:t>
      </w:r>
    </w:p>
    <w:tbl>
      <w:tblPr>
        <w:tblStyle w:val="LightShading-Accent1"/>
        <w:tblW w:type="auto" w:w="0"/>
        <w:tblLook w:firstColumn="1" w:firstRow="1" w:lastColumn="0" w:lastRow="0" w:noHBand="0" w:noVBand="1" w:val="04A0"/>
      </w:tblPr>
      <w:tblGrid>
        <w:gridCol w:w="2266"/>
        <w:gridCol w:w="2266"/>
        <w:gridCol w:w="2266"/>
        <w:gridCol w:w="2266"/>
      </w:tblGrid>
      <w:tr>
        <w:tc>
          <w:tcPr>
            <w:tcW w:type="dxa" w:w="1417"/>
          </w:tcPr>
          <w:p>
            <w:r>
              <w:rPr>
                <w:b/>
                <w:sz w:val="18"/>
              </w:rPr>
              <w:t>Sector</w:t>
            </w:r>
          </w:p>
        </w:tc>
        <w:tc>
          <w:tcPr>
            <w:tcW w:type="dxa" w:w="1814"/>
          </w:tcPr>
          <w:p>
            <w:r>
              <w:rPr>
                <w:b/>
                <w:sz w:val="18"/>
              </w:rPr>
              <w:t>Avg Price Index (×baseline)</w:t>
            </w:r>
          </w:p>
        </w:tc>
        <w:tc>
          <w:tcPr>
            <w:tcW w:type="dxa" w:w="1701"/>
          </w:tcPr>
          <w:p>
            <w:r>
              <w:rPr>
                <w:b/>
                <w:sz w:val="18"/>
              </w:rPr>
              <w:t>% Change from Baseline</w:t>
            </w:r>
          </w:p>
        </w:tc>
        <w:tc>
          <w:tcPr>
            <w:tcW w:type="dxa" w:w="1701"/>
          </w:tcPr>
          <w:p>
            <w:r>
              <w:rPr>
                <w:b/>
                <w:sz w:val="18"/>
              </w:rPr>
              <w:t>Interpretation</w:t>
            </w:r>
          </w:p>
        </w:tc>
      </w:tr>
      <w:tr>
        <w:tc>
          <w:tcPr>
            <w:tcW w:type="dxa" w:w="1417"/>
          </w:tcPr>
          <w:p>
            <w:r>
              <w:rPr>
                <w:sz w:val="18"/>
              </w:rPr>
              <w:t>Oil</w:t>
            </w:r>
          </w:p>
        </w:tc>
        <w:tc>
          <w:tcPr>
            <w:tcW w:type="dxa" w:w="1814"/>
          </w:tcPr>
          <w:p>
            <w:r>
              <w:rPr>
                <w:sz w:val="18"/>
              </w:rPr>
              <w:t>1.0000</w:t>
            </w:r>
          </w:p>
        </w:tc>
        <w:tc>
          <w:tcPr>
            <w:tcW w:type="dxa" w:w="1701"/>
          </w:tcPr>
          <w:p>
            <w:r>
              <w:rPr>
                <w:sz w:val="18"/>
              </w:rPr>
              <w:t>+0.00%</w:t>
            </w:r>
          </w:p>
        </w:tc>
        <w:tc>
          <w:tcPr>
            <w:tcW w:type="dxa" w:w="1701"/>
          </w:tcPr>
          <w:p>
            <w:r>
              <w:rPr>
                <w:sz w:val="18"/>
              </w:rPr>
              <w:t>Negligible</w:t>
            </w:r>
          </w:p>
        </w:tc>
      </w:tr>
      <w:tr>
        <w:tc>
          <w:tcPr>
            <w:tcW w:type="dxa" w:w="1417"/>
          </w:tcPr>
          <w:p>
            <w:r>
              <w:rPr>
                <w:sz w:val="18"/>
              </w:rPr>
              <w:t>Chemical</w:t>
            </w:r>
          </w:p>
        </w:tc>
        <w:tc>
          <w:tcPr>
            <w:tcW w:type="dxa" w:w="1814"/>
          </w:tcPr>
          <w:p>
            <w:r>
              <w:rPr>
                <w:sz w:val="18"/>
              </w:rPr>
              <w:t>1.0083</w:t>
            </w:r>
          </w:p>
        </w:tc>
        <w:tc>
          <w:tcPr>
            <w:tcW w:type="dxa" w:w="1701"/>
          </w:tcPr>
          <w:p>
            <w:r>
              <w:rPr>
                <w:sz w:val="18"/>
              </w:rPr>
              <w:t>+0.83%</w:t>
            </w:r>
          </w:p>
        </w:tc>
        <w:tc>
          <w:tcPr>
            <w:tcW w:type="dxa" w:w="1701"/>
          </w:tcPr>
          <w:p>
            <w:r>
              <w:rPr>
                <w:sz w:val="18"/>
              </w:rPr>
              <w:t>Minor</w:t>
            </w:r>
          </w:p>
        </w:tc>
      </w:tr>
      <w:tr>
        <w:tc>
          <w:tcPr>
            <w:tcW w:type="dxa" w:w="1417"/>
          </w:tcPr>
          <w:p>
            <w:r>
              <w:rPr>
                <w:sz w:val="18"/>
              </w:rPr>
              <w:t>PTA</w:t>
            </w:r>
          </w:p>
        </w:tc>
        <w:tc>
          <w:tcPr>
            <w:tcW w:type="dxa" w:w="1814"/>
          </w:tcPr>
          <w:p>
            <w:r>
              <w:rPr>
                <w:sz w:val="18"/>
              </w:rPr>
              <w:t>1.0051</w:t>
            </w:r>
          </w:p>
        </w:tc>
        <w:tc>
          <w:tcPr>
            <w:tcW w:type="dxa" w:w="1701"/>
          </w:tcPr>
          <w:p>
            <w:r>
              <w:rPr>
                <w:sz w:val="18"/>
              </w:rPr>
              <w:t>+0.51%</w:t>
            </w:r>
          </w:p>
        </w:tc>
        <w:tc>
          <w:tcPr>
            <w:tcW w:type="dxa" w:w="1701"/>
          </w:tcPr>
          <w:p>
            <w:r>
              <w:rPr>
                <w:sz w:val="18"/>
              </w:rPr>
              <w:t>Minor</w:t>
            </w:r>
          </w:p>
        </w:tc>
      </w:tr>
      <w:tr>
        <w:tc>
          <w:tcPr>
            <w:tcW w:type="dxa" w:w="1417"/>
          </w:tcPr>
          <w:p>
            <w:r>
              <w:rPr>
                <w:sz w:val="18"/>
              </w:rPr>
              <w:t>PET</w:t>
            </w:r>
          </w:p>
        </w:tc>
        <w:tc>
          <w:tcPr>
            <w:tcW w:type="dxa" w:w="1814"/>
          </w:tcPr>
          <w:p>
            <w:r>
              <w:rPr>
                <w:sz w:val="18"/>
              </w:rPr>
              <w:t>1.0256</w:t>
            </w:r>
          </w:p>
        </w:tc>
        <w:tc>
          <w:tcPr>
            <w:tcW w:type="dxa" w:w="1701"/>
          </w:tcPr>
          <w:p>
            <w:r>
              <w:rPr>
                <w:sz w:val="18"/>
              </w:rPr>
              <w:t>+2.56%</w:t>
            </w:r>
          </w:p>
        </w:tc>
        <w:tc>
          <w:tcPr>
            <w:tcW w:type="dxa" w:w="1701"/>
          </w:tcPr>
          <w:p>
            <w:r>
              <w:rPr>
                <w:sz w:val="18"/>
              </w:rPr>
              <w:t>Minor</w:t>
            </w:r>
          </w:p>
        </w:tc>
      </w:tr>
      <w:tr>
        <w:tc>
          <w:tcPr>
            <w:tcW w:type="dxa" w:w="1417"/>
          </w:tcPr>
          <w:p>
            <w:r>
              <w:rPr>
                <w:sz w:val="18"/>
              </w:rPr>
              <w:t>Fabric</w:t>
            </w:r>
          </w:p>
        </w:tc>
        <w:tc>
          <w:tcPr>
            <w:tcW w:type="dxa" w:w="1814"/>
          </w:tcPr>
          <w:p>
            <w:r>
              <w:rPr>
                <w:sz w:val="18"/>
              </w:rPr>
              <w:t>1.0158</w:t>
            </w:r>
          </w:p>
        </w:tc>
        <w:tc>
          <w:tcPr>
            <w:tcW w:type="dxa" w:w="1701"/>
          </w:tcPr>
          <w:p>
            <w:r>
              <w:rPr>
                <w:sz w:val="18"/>
              </w:rPr>
              <w:t>+1.58%</w:t>
            </w:r>
          </w:p>
        </w:tc>
        <w:tc>
          <w:tcPr>
            <w:tcW w:type="dxa" w:w="1701"/>
          </w:tcPr>
          <w:p>
            <w:r>
              <w:rPr>
                <w:sz w:val="18"/>
              </w:rPr>
              <w:t>Minor</w:t>
            </w:r>
          </w:p>
        </w:tc>
      </w:tr>
      <w:tr>
        <w:tc>
          <w:tcPr>
            <w:tcW w:type="dxa" w:w="1417"/>
          </w:tcPr>
          <w:p>
            <w:r>
              <w:rPr>
                <w:sz w:val="18"/>
              </w:rPr>
              <w:t>Garment</w:t>
            </w:r>
          </w:p>
        </w:tc>
        <w:tc>
          <w:tcPr>
            <w:tcW w:type="dxa" w:w="1814"/>
          </w:tcPr>
          <w:p>
            <w:r>
              <w:rPr>
                <w:sz w:val="18"/>
              </w:rPr>
              <w:t>1.0136</w:t>
            </w:r>
          </w:p>
        </w:tc>
        <w:tc>
          <w:tcPr>
            <w:tcW w:type="dxa" w:w="1701"/>
          </w:tcPr>
          <w:p>
            <w:r>
              <w:rPr>
                <w:sz w:val="18"/>
              </w:rPr>
              <w:t>+1.36%</w:t>
            </w:r>
          </w:p>
        </w:tc>
        <w:tc>
          <w:tcPr>
            <w:tcW w:type="dxa" w:w="1701"/>
          </w:tcPr>
          <w:p>
            <w:r>
              <w:rPr>
                <w:sz w:val="18"/>
              </w:rPr>
              <w:t>Minor</w:t>
            </w:r>
          </w:p>
        </w:tc>
      </w:tr>
      <w:tr>
        <w:tc>
          <w:tcPr>
            <w:tcW w:type="dxa" w:w="1417"/>
          </w:tcPr>
          <w:p>
            <w:r>
              <w:rPr>
                <w:sz w:val="18"/>
              </w:rPr>
              <w:t>Wholesale</w:t>
            </w:r>
          </w:p>
        </w:tc>
        <w:tc>
          <w:tcPr>
            <w:tcW w:type="dxa" w:w="1814"/>
          </w:tcPr>
          <w:p>
            <w:r>
              <w:rPr>
                <w:sz w:val="18"/>
              </w:rPr>
              <w:t>1.0151</w:t>
            </w:r>
          </w:p>
        </w:tc>
        <w:tc>
          <w:tcPr>
            <w:tcW w:type="dxa" w:w="1701"/>
          </w:tcPr>
          <w:p>
            <w:r>
              <w:rPr>
                <w:sz w:val="18"/>
              </w:rPr>
              <w:t>+1.51%</w:t>
            </w:r>
          </w:p>
        </w:tc>
        <w:tc>
          <w:tcPr>
            <w:tcW w:type="dxa" w:w="1701"/>
          </w:tcPr>
          <w:p>
            <w:r>
              <w:rPr>
                <w:sz w:val="18"/>
              </w:rPr>
              <w:t>Minor</w:t>
            </w:r>
          </w:p>
        </w:tc>
      </w:tr>
      <w:tr>
        <w:tc>
          <w:tcPr>
            <w:tcW w:type="dxa" w:w="1417"/>
          </w:tcPr>
          <w:p>
            <w:r>
              <w:rPr>
                <w:sz w:val="18"/>
              </w:rPr>
              <w:t>Retail</w:t>
            </w:r>
          </w:p>
        </w:tc>
        <w:tc>
          <w:tcPr>
            <w:tcW w:type="dxa" w:w="1814"/>
          </w:tcPr>
          <w:p>
            <w:r>
              <w:rPr>
                <w:sz w:val="18"/>
              </w:rPr>
              <w:t>1.0098</w:t>
            </w:r>
          </w:p>
        </w:tc>
        <w:tc>
          <w:tcPr>
            <w:tcW w:type="dxa" w:w="1701"/>
          </w:tcPr>
          <w:p>
            <w:r>
              <w:rPr>
                <w:sz w:val="18"/>
              </w:rPr>
              <w:t>+0.98%</w:t>
            </w:r>
          </w:p>
        </w:tc>
        <w:tc>
          <w:tcPr>
            <w:tcW w:type="dxa" w:w="1701"/>
          </w:tcPr>
          <w:p>
            <w:r>
              <w:rPr>
                <w:sz w:val="18"/>
              </w:rPr>
              <w:t>Minor</w:t>
            </w:r>
          </w:p>
        </w:tc>
      </w:tr>
    </w:tbl>
    <w:p>
      <w:pPr>
        <w:jc w:val="both"/>
      </w:pPr>
      <w:r>
        <w:rPr>
          <w:b w:val="0"/>
          <w:i/>
          <w:sz w:val="20"/>
        </w:rPr>
        <w:t>Period-average welfare change: £-0.946bn (loss).  Peak period price: 1.261×baseline.</w:t>
      </w:r>
    </w:p>
    <w:p>
      <w:pPr>
        <w:jc w:val="both"/>
      </w:pPr>
      <w:r>
        <w:rPr>
          <w:b/>
          <w:i w:val="0"/>
          <w:sz w:val="21"/>
        </w:rPr>
        <w:t>2.2.2  IO Model: Worst-Week Output Drop and Shortage</w:t>
      </w:r>
    </w:p>
    <w:tbl>
      <w:tblPr>
        <w:tblStyle w:val="LightShading-Accent1"/>
        <w:tblW w:type="auto" w:w="0"/>
        <w:tblLook w:firstColumn="1" w:firstRow="1" w:lastColumn="0" w:lastRow="0" w:noHBand="0" w:noVBand="1" w:val="04A0"/>
      </w:tblPr>
      <w:tblGrid>
        <w:gridCol w:w="1813"/>
        <w:gridCol w:w="1813"/>
        <w:gridCol w:w="1813"/>
        <w:gridCol w:w="1813"/>
        <w:gridCol w:w="1813"/>
      </w:tblGrid>
      <w:tr>
        <w:tc>
          <w:tcPr>
            <w:tcW w:type="dxa" w:w="1417"/>
          </w:tcPr>
          <w:p>
            <w:r>
              <w:rPr>
                <w:b/>
                <w:sz w:val="18"/>
              </w:rPr>
              <w:t>Sector</w:t>
            </w:r>
          </w:p>
        </w:tc>
        <w:tc>
          <w:tcPr>
            <w:tcW w:type="dxa" w:w="1417"/>
          </w:tcPr>
          <w:p>
            <w:r>
              <w:rPr>
                <w:b/>
                <w:sz w:val="18"/>
              </w:rPr>
              <w:t>Baseline Output (norm.)</w:t>
            </w:r>
          </w:p>
        </w:tc>
        <w:tc>
          <w:tcPr>
            <w:tcW w:type="dxa" w:w="1587"/>
          </w:tcPr>
          <w:p>
            <w:r>
              <w:rPr>
                <w:b/>
                <w:sz w:val="18"/>
              </w:rPr>
              <w:t>Worst-Week Output (norm.)</w:t>
            </w:r>
          </w:p>
        </w:tc>
        <w:tc>
          <w:tcPr>
            <w:tcW w:type="dxa" w:w="1417"/>
          </w:tcPr>
          <w:p>
            <w:r>
              <w:rPr>
                <w:b/>
                <w:sz w:val="18"/>
              </w:rPr>
              <w:t>Max Output Drop (%)</w:t>
            </w:r>
          </w:p>
        </w:tc>
        <w:tc>
          <w:tcPr>
            <w:tcW w:type="dxa" w:w="1587"/>
          </w:tcPr>
          <w:p>
            <w:r>
              <w:rPr>
                <w:b/>
                <w:sz w:val="18"/>
              </w:rPr>
              <w:t>Total Shortage (norm.)</w:t>
            </w:r>
          </w:p>
        </w:tc>
      </w:tr>
      <w:tr>
        <w:tc>
          <w:tcPr>
            <w:tcW w:type="dxa" w:w="1417"/>
          </w:tcPr>
          <w:p>
            <w:r>
              <w:rPr>
                <w:sz w:val="18"/>
              </w:rPr>
              <w:t>Oil</w:t>
            </w:r>
          </w:p>
        </w:tc>
        <w:tc>
          <w:tcPr>
            <w:tcW w:type="dxa" w:w="1417"/>
          </w:tcPr>
          <w:p>
            <w:r>
              <w:rPr>
                <w:sz w:val="18"/>
              </w:rPr>
              <w:t>0.0005</w:t>
            </w:r>
          </w:p>
        </w:tc>
        <w:tc>
          <w:tcPr>
            <w:tcW w:type="dxa" w:w="1587"/>
          </w:tcPr>
          <w:p>
            <w:r>
              <w:rPr>
                <w:sz w:val="18"/>
              </w:rPr>
              <w:t>0.0005</w:t>
            </w:r>
          </w:p>
        </w:tc>
        <w:tc>
          <w:tcPr>
            <w:tcW w:type="dxa" w:w="1417"/>
          </w:tcPr>
          <w:p>
            <w:r>
              <w:rPr>
                <w:sz w:val="18"/>
              </w:rPr>
              <w:t>+0.0%</w:t>
            </w:r>
          </w:p>
        </w:tc>
        <w:tc>
          <w:tcPr>
            <w:tcW w:type="dxa" w:w="1587"/>
          </w:tcPr>
          <w:p>
            <w:r>
              <w:rPr>
                <w:sz w:val="18"/>
              </w:rPr>
              <w:t>0.0000</w:t>
            </w:r>
          </w:p>
        </w:tc>
      </w:tr>
      <w:tr>
        <w:tc>
          <w:tcPr>
            <w:tcW w:type="dxa" w:w="1417"/>
          </w:tcPr>
          <w:p>
            <w:r>
              <w:rPr>
                <w:sz w:val="18"/>
              </w:rPr>
              <w:t>Chemical</w:t>
            </w:r>
          </w:p>
        </w:tc>
        <w:tc>
          <w:tcPr>
            <w:tcW w:type="dxa" w:w="1417"/>
          </w:tcPr>
          <w:p>
            <w:r>
              <w:rPr>
                <w:sz w:val="18"/>
              </w:rPr>
              <w:t>0.0021</w:t>
            </w:r>
          </w:p>
        </w:tc>
        <w:tc>
          <w:tcPr>
            <w:tcW w:type="dxa" w:w="1587"/>
          </w:tcPr>
          <w:p>
            <w:r>
              <w:rPr>
                <w:sz w:val="18"/>
              </w:rPr>
              <w:t>0.0016</w:t>
            </w:r>
          </w:p>
        </w:tc>
        <w:tc>
          <w:tcPr>
            <w:tcW w:type="dxa" w:w="1417"/>
          </w:tcPr>
          <w:p>
            <w:r>
              <w:rPr>
                <w:sz w:val="18"/>
              </w:rPr>
              <w:t>-20.0%</w:t>
            </w:r>
          </w:p>
        </w:tc>
        <w:tc>
          <w:tcPr>
            <w:tcW w:type="dxa" w:w="1587"/>
          </w:tcPr>
          <w:p>
            <w:r>
              <w:rPr>
                <w:sz w:val="18"/>
              </w:rPr>
              <w:t>0.0040</w:t>
            </w:r>
          </w:p>
        </w:tc>
      </w:tr>
      <w:tr>
        <w:tc>
          <w:tcPr>
            <w:tcW w:type="dxa" w:w="1417"/>
          </w:tcPr>
          <w:p>
            <w:r>
              <w:rPr>
                <w:sz w:val="18"/>
              </w:rPr>
              <w:t>PTA</w:t>
            </w:r>
          </w:p>
        </w:tc>
        <w:tc>
          <w:tcPr>
            <w:tcW w:type="dxa" w:w="1417"/>
          </w:tcPr>
          <w:p>
            <w:r>
              <w:rPr>
                <w:sz w:val="18"/>
              </w:rPr>
              <w:t>0.0016</w:t>
            </w:r>
          </w:p>
        </w:tc>
        <w:tc>
          <w:tcPr>
            <w:tcW w:type="dxa" w:w="1587"/>
          </w:tcPr>
          <w:p>
            <w:r>
              <w:rPr>
                <w:sz w:val="18"/>
              </w:rPr>
              <w:t>0.0016</w:t>
            </w:r>
          </w:p>
        </w:tc>
        <w:tc>
          <w:tcPr>
            <w:tcW w:type="dxa" w:w="1417"/>
          </w:tcPr>
          <w:p>
            <w:r>
              <w:rPr>
                <w:sz w:val="18"/>
              </w:rPr>
              <w:t>+0.0%</w:t>
            </w:r>
          </w:p>
        </w:tc>
        <w:tc>
          <w:tcPr>
            <w:tcW w:type="dxa" w:w="1587"/>
          </w:tcPr>
          <w:p>
            <w:r>
              <w:rPr>
                <w:sz w:val="18"/>
              </w:rPr>
              <w:t>0.0000</w:t>
            </w:r>
          </w:p>
        </w:tc>
      </w:tr>
      <w:tr>
        <w:tc>
          <w:tcPr>
            <w:tcW w:type="dxa" w:w="1417"/>
          </w:tcPr>
          <w:p>
            <w:r>
              <w:rPr>
                <w:sz w:val="18"/>
              </w:rPr>
              <w:t>PET</w:t>
            </w:r>
          </w:p>
        </w:tc>
        <w:tc>
          <w:tcPr>
            <w:tcW w:type="dxa" w:w="1417"/>
          </w:tcPr>
          <w:p>
            <w:r>
              <w:rPr>
                <w:sz w:val="18"/>
              </w:rPr>
              <w:t>0.0029</w:t>
            </w:r>
          </w:p>
        </w:tc>
        <w:tc>
          <w:tcPr>
            <w:tcW w:type="dxa" w:w="1587"/>
          </w:tcPr>
          <w:p>
            <w:r>
              <w:rPr>
                <w:sz w:val="18"/>
              </w:rPr>
              <w:t>0.0020</w:t>
            </w:r>
          </w:p>
        </w:tc>
        <w:tc>
          <w:tcPr>
            <w:tcW w:type="dxa" w:w="1417"/>
          </w:tcPr>
          <w:p>
            <w:r>
              <w:rPr>
                <w:sz w:val="18"/>
              </w:rPr>
              <w:t>-30.0%</w:t>
            </w:r>
          </w:p>
        </w:tc>
        <w:tc>
          <w:tcPr>
            <w:tcW w:type="dxa" w:w="1587"/>
          </w:tcPr>
          <w:p>
            <w:r>
              <w:rPr>
                <w:sz w:val="18"/>
              </w:rPr>
              <w:t>0.0051</w:t>
            </w:r>
          </w:p>
        </w:tc>
      </w:tr>
      <w:tr>
        <w:tc>
          <w:tcPr>
            <w:tcW w:type="dxa" w:w="1417"/>
          </w:tcPr>
          <w:p>
            <w:r>
              <w:rPr>
                <w:sz w:val="18"/>
              </w:rPr>
              <w:t>Fabric</w:t>
            </w:r>
          </w:p>
        </w:tc>
        <w:tc>
          <w:tcPr>
            <w:tcW w:type="dxa" w:w="1417"/>
          </w:tcPr>
          <w:p>
            <w:r>
              <w:rPr>
                <w:sz w:val="18"/>
              </w:rPr>
              <w:t>0.0064</w:t>
            </w:r>
          </w:p>
        </w:tc>
        <w:tc>
          <w:tcPr>
            <w:tcW w:type="dxa" w:w="1587"/>
          </w:tcPr>
          <w:p>
            <w:r>
              <w:rPr>
                <w:sz w:val="18"/>
              </w:rPr>
              <w:t>0.0045</w:t>
            </w:r>
          </w:p>
        </w:tc>
        <w:tc>
          <w:tcPr>
            <w:tcW w:type="dxa" w:w="1417"/>
          </w:tcPr>
          <w:p>
            <w:r>
              <w:rPr>
                <w:sz w:val="18"/>
              </w:rPr>
              <w:t>-30.0%</w:t>
            </w:r>
          </w:p>
        </w:tc>
        <w:tc>
          <w:tcPr>
            <w:tcW w:type="dxa" w:w="1587"/>
          </w:tcPr>
          <w:p>
            <w:r>
              <w:rPr>
                <w:sz w:val="18"/>
              </w:rPr>
              <w:t>0.0143</w:t>
            </w:r>
          </w:p>
        </w:tc>
      </w:tr>
      <w:tr>
        <w:tc>
          <w:tcPr>
            <w:tcW w:type="dxa" w:w="1417"/>
          </w:tcPr>
          <w:p>
            <w:r>
              <w:rPr>
                <w:sz w:val="18"/>
              </w:rPr>
              <w:t>Garment</w:t>
            </w:r>
          </w:p>
        </w:tc>
        <w:tc>
          <w:tcPr>
            <w:tcW w:type="dxa" w:w="1417"/>
          </w:tcPr>
          <w:p>
            <w:r>
              <w:rPr>
                <w:sz w:val="18"/>
              </w:rPr>
              <w:t>0.0747</w:t>
            </w:r>
          </w:p>
        </w:tc>
        <w:tc>
          <w:tcPr>
            <w:tcW w:type="dxa" w:w="1587"/>
          </w:tcPr>
          <w:p>
            <w:r>
              <w:rPr>
                <w:sz w:val="18"/>
              </w:rPr>
              <w:t>0.0523</w:t>
            </w:r>
          </w:p>
        </w:tc>
        <w:tc>
          <w:tcPr>
            <w:tcW w:type="dxa" w:w="1417"/>
          </w:tcPr>
          <w:p>
            <w:r>
              <w:rPr>
                <w:sz w:val="18"/>
              </w:rPr>
              <w:t>-30.0%</w:t>
            </w:r>
          </w:p>
        </w:tc>
        <w:tc>
          <w:tcPr>
            <w:tcW w:type="dxa" w:w="1587"/>
          </w:tcPr>
          <w:p>
            <w:r>
              <w:rPr>
                <w:sz w:val="18"/>
              </w:rPr>
              <w:t>0.1575</w:t>
            </w:r>
          </w:p>
        </w:tc>
      </w:tr>
      <w:tr>
        <w:tc>
          <w:tcPr>
            <w:tcW w:type="dxa" w:w="1417"/>
          </w:tcPr>
          <w:p>
            <w:r>
              <w:rPr>
                <w:sz w:val="18"/>
              </w:rPr>
              <w:t>Wholesale</w:t>
            </w:r>
          </w:p>
        </w:tc>
        <w:tc>
          <w:tcPr>
            <w:tcW w:type="dxa" w:w="1417"/>
          </w:tcPr>
          <w:p>
            <w:r>
              <w:rPr>
                <w:sz w:val="18"/>
              </w:rPr>
              <w:t>0.2323</w:t>
            </w:r>
          </w:p>
        </w:tc>
        <w:tc>
          <w:tcPr>
            <w:tcW w:type="dxa" w:w="1587"/>
          </w:tcPr>
          <w:p>
            <w:r>
              <w:rPr>
                <w:sz w:val="18"/>
              </w:rPr>
              <w:t>0.1626</w:t>
            </w:r>
          </w:p>
        </w:tc>
        <w:tc>
          <w:tcPr>
            <w:tcW w:type="dxa" w:w="1417"/>
          </w:tcPr>
          <w:p>
            <w:r>
              <w:rPr>
                <w:sz w:val="18"/>
              </w:rPr>
              <w:t>-30.0%</w:t>
            </w:r>
          </w:p>
        </w:tc>
        <w:tc>
          <w:tcPr>
            <w:tcW w:type="dxa" w:w="1587"/>
          </w:tcPr>
          <w:p>
            <w:r>
              <w:rPr>
                <w:sz w:val="18"/>
              </w:rPr>
              <w:t>0.5082</w:t>
            </w:r>
          </w:p>
        </w:tc>
      </w:tr>
      <w:tr>
        <w:tc>
          <w:tcPr>
            <w:tcW w:type="dxa" w:w="1417"/>
          </w:tcPr>
          <w:p>
            <w:r>
              <w:rPr>
                <w:sz w:val="18"/>
              </w:rPr>
              <w:t>Retail</w:t>
            </w:r>
          </w:p>
        </w:tc>
        <w:tc>
          <w:tcPr>
            <w:tcW w:type="dxa" w:w="1417"/>
          </w:tcPr>
          <w:p>
            <w:r>
              <w:rPr>
                <w:sz w:val="18"/>
              </w:rPr>
              <w:t>1.0000</w:t>
            </w:r>
          </w:p>
        </w:tc>
        <w:tc>
          <w:tcPr>
            <w:tcW w:type="dxa" w:w="1587"/>
          </w:tcPr>
          <w:p>
            <w:r>
              <w:rPr>
                <w:sz w:val="18"/>
              </w:rPr>
              <w:t>0.7223</w:t>
            </w:r>
          </w:p>
        </w:tc>
        <w:tc>
          <w:tcPr>
            <w:tcW w:type="dxa" w:w="1417"/>
          </w:tcPr>
          <w:p>
            <w:r>
              <w:rPr>
                <w:sz w:val="18"/>
              </w:rPr>
              <w:t>-27.8%</w:t>
            </w:r>
          </w:p>
        </w:tc>
        <w:tc>
          <w:tcPr>
            <w:tcW w:type="dxa" w:w="1587"/>
          </w:tcPr>
          <w:p>
            <w:r>
              <w:rPr>
                <w:sz w:val="18"/>
              </w:rPr>
              <w:t>1.7354</w:t>
            </w:r>
          </w:p>
        </w:tc>
      </w:tr>
    </w:tbl>
    <w:p>
      <w:r>
        <w:rPr>
          <w:i/>
          <w:color w:val="646464"/>
          <w:sz w:val="17"/>
        </w:rPr>
        <w:t>Source: Output normalised: retail=1.0 at baseline. Shortage = cumulative unfulfilled demand across all 52 periods. IO model: Dynamic Leontief with transit-time lags and capacity recovery (rate = 4%/wk × B_diag).</w:t>
      </w:r>
    </w:p>
    <w:p>
      <w:pPr>
        <w:jc w:val="both"/>
      </w:pPr>
      <w:r>
        <w:rPr>
          <w:b/>
          <w:i w:val="0"/>
          <w:sz w:val="21"/>
        </w:rPr>
        <w:t>2.2.3  ABM: Bullwhip, Service Levels, Recovery Times</w:t>
      </w:r>
    </w:p>
    <w:tbl>
      <w:tblPr>
        <w:tblStyle w:val="LightShading-Accent1"/>
        <w:tblW w:type="auto" w:w="0"/>
        <w:tblLook w:firstColumn="1" w:firstRow="1" w:lastColumn="0" w:lastRow="0" w:noHBand="0" w:noVBand="1" w:val="04A0"/>
      </w:tblPr>
      <w:tblGrid>
        <w:gridCol w:w="1813"/>
        <w:gridCol w:w="1813"/>
        <w:gridCol w:w="1813"/>
        <w:gridCol w:w="1813"/>
        <w:gridCol w:w="1813"/>
      </w:tblGrid>
      <w:tr>
        <w:tc>
          <w:tcPr>
            <w:tcW w:type="dxa" w:w="1417"/>
          </w:tcPr>
          <w:p>
            <w:r>
              <w:rPr>
                <w:b/>
                <w:sz w:val="18"/>
              </w:rPr>
              <w:t>Sector</w:t>
            </w:r>
          </w:p>
        </w:tc>
        <w:tc>
          <w:tcPr>
            <w:tcW w:type="dxa" w:w="1304"/>
          </w:tcPr>
          <w:p>
            <w:r>
              <w:rPr>
                <w:b/>
                <w:sz w:val="18"/>
              </w:rPr>
              <w:t>Bullwhip Ratio</w:t>
            </w:r>
          </w:p>
        </w:tc>
        <w:tc>
          <w:tcPr>
            <w:tcW w:type="dxa" w:w="1417"/>
          </w:tcPr>
          <w:p>
            <w:r>
              <w:rPr>
                <w:b/>
                <w:sz w:val="18"/>
              </w:rPr>
              <w:t>Service Level (%)</w:t>
            </w:r>
          </w:p>
        </w:tc>
        <w:tc>
          <w:tcPr>
            <w:tcW w:type="dxa" w:w="1304"/>
          </w:tcPr>
          <w:p>
            <w:r>
              <w:rPr>
                <w:b/>
                <w:sz w:val="18"/>
              </w:rPr>
              <w:t>Fill Rate (%)</w:t>
            </w:r>
          </w:p>
        </w:tc>
        <w:tc>
          <w:tcPr>
            <w:tcW w:type="dxa" w:w="1417"/>
          </w:tcPr>
          <w:p>
            <w:r>
              <w:rPr>
                <w:b/>
                <w:sz w:val="18"/>
              </w:rPr>
              <w:t>Recovery Time</w:t>
            </w:r>
          </w:p>
        </w:tc>
      </w:tr>
      <w:tr>
        <w:tc>
          <w:tcPr>
            <w:tcW w:type="dxa" w:w="1417"/>
          </w:tcPr>
          <w:p>
            <w:r>
              <w:rPr>
                <w:sz w:val="18"/>
              </w:rPr>
              <w:t>Oil</w:t>
            </w:r>
          </w:p>
        </w:tc>
        <w:tc>
          <w:tcPr>
            <w:tcW w:type="dxa" w:w="1304"/>
          </w:tcPr>
          <w:p>
            <w:r>
              <w:rPr>
                <w:sz w:val="18"/>
              </w:rPr>
              <w:t>0.67×</w:t>
            </w:r>
          </w:p>
        </w:tc>
        <w:tc>
          <w:tcPr>
            <w:tcW w:type="dxa" w:w="1417"/>
          </w:tcPr>
          <w:p>
            <w:r>
              <w:rPr>
                <w:sz w:val="18"/>
              </w:rPr>
              <w:t>100.0%</w:t>
            </w:r>
          </w:p>
        </w:tc>
        <w:tc>
          <w:tcPr>
            <w:tcW w:type="dxa" w:w="1304"/>
          </w:tcPr>
          <w:p>
            <w:r>
              <w:rPr>
                <w:sz w:val="18"/>
              </w:rPr>
              <w:t>100.0%</w:t>
            </w:r>
          </w:p>
        </w:tc>
        <w:tc>
          <w:tcPr>
            <w:tcW w:type="dxa" w:w="1417"/>
          </w:tcPr>
          <w:p>
            <w:r>
              <w:rPr>
                <w:sz w:val="18"/>
              </w:rPr>
              <w:t>0 wk</w:t>
            </w:r>
          </w:p>
        </w:tc>
      </w:tr>
      <w:tr>
        <w:tc>
          <w:tcPr>
            <w:tcW w:type="dxa" w:w="1417"/>
          </w:tcPr>
          <w:p>
            <w:r>
              <w:rPr>
                <w:sz w:val="18"/>
              </w:rPr>
              <w:t>Chemical</w:t>
            </w:r>
          </w:p>
        </w:tc>
        <w:tc>
          <w:tcPr>
            <w:tcW w:type="dxa" w:w="1304"/>
          </w:tcPr>
          <w:p>
            <w:r>
              <w:rPr>
                <w:sz w:val="18"/>
              </w:rPr>
              <w:t>0.67×</w:t>
            </w:r>
          </w:p>
        </w:tc>
        <w:tc>
          <w:tcPr>
            <w:tcW w:type="dxa" w:w="1417"/>
          </w:tcPr>
          <w:p>
            <w:r>
              <w:rPr>
                <w:sz w:val="18"/>
              </w:rPr>
              <w:t>100.0%</w:t>
            </w:r>
          </w:p>
        </w:tc>
        <w:tc>
          <w:tcPr>
            <w:tcW w:type="dxa" w:w="1304"/>
          </w:tcPr>
          <w:p>
            <w:r>
              <w:rPr>
                <w:sz w:val="18"/>
              </w:rPr>
              <w:t>100.0%</w:t>
            </w:r>
          </w:p>
        </w:tc>
        <w:tc>
          <w:tcPr>
            <w:tcW w:type="dxa" w:w="1417"/>
          </w:tcPr>
          <w:p>
            <w:r>
              <w:rPr>
                <w:sz w:val="18"/>
              </w:rPr>
              <w:t>9 wk</w:t>
            </w:r>
          </w:p>
        </w:tc>
      </w:tr>
      <w:tr>
        <w:tc>
          <w:tcPr>
            <w:tcW w:type="dxa" w:w="1417"/>
          </w:tcPr>
          <w:p>
            <w:r>
              <w:rPr>
                <w:sz w:val="18"/>
              </w:rPr>
              <w:t>PTA</w:t>
            </w:r>
          </w:p>
        </w:tc>
        <w:tc>
          <w:tcPr>
            <w:tcW w:type="dxa" w:w="1304"/>
          </w:tcPr>
          <w:p>
            <w:r>
              <w:rPr>
                <w:sz w:val="18"/>
              </w:rPr>
              <w:t>0.67×</w:t>
            </w:r>
          </w:p>
        </w:tc>
        <w:tc>
          <w:tcPr>
            <w:tcW w:type="dxa" w:w="1417"/>
          </w:tcPr>
          <w:p>
            <w:r>
              <w:rPr>
                <w:sz w:val="18"/>
              </w:rPr>
              <w:t>100.0%</w:t>
            </w:r>
          </w:p>
        </w:tc>
        <w:tc>
          <w:tcPr>
            <w:tcW w:type="dxa" w:w="1304"/>
          </w:tcPr>
          <w:p>
            <w:r>
              <w:rPr>
                <w:sz w:val="18"/>
              </w:rPr>
              <w:t>100.0%</w:t>
            </w:r>
          </w:p>
        </w:tc>
        <w:tc>
          <w:tcPr>
            <w:tcW w:type="dxa" w:w="1417"/>
          </w:tcPr>
          <w:p>
            <w:r>
              <w:rPr>
                <w:sz w:val="18"/>
              </w:rPr>
              <w:t>0 wk</w:t>
            </w:r>
          </w:p>
        </w:tc>
      </w:tr>
      <w:tr>
        <w:tc>
          <w:tcPr>
            <w:tcW w:type="dxa" w:w="1417"/>
          </w:tcPr>
          <w:p>
            <w:r>
              <w:rPr>
                <w:sz w:val="18"/>
              </w:rPr>
              <w:t>PET</w:t>
            </w:r>
          </w:p>
        </w:tc>
        <w:tc>
          <w:tcPr>
            <w:tcW w:type="dxa" w:w="1304"/>
          </w:tcPr>
          <w:p>
            <w:r>
              <w:rPr>
                <w:sz w:val="18"/>
              </w:rPr>
              <w:t>0.67×</w:t>
            </w:r>
          </w:p>
        </w:tc>
        <w:tc>
          <w:tcPr>
            <w:tcW w:type="dxa" w:w="1417"/>
          </w:tcPr>
          <w:p>
            <w:r>
              <w:rPr>
                <w:sz w:val="18"/>
              </w:rPr>
              <w:t>100.0%</w:t>
            </w:r>
          </w:p>
        </w:tc>
        <w:tc>
          <w:tcPr>
            <w:tcW w:type="dxa" w:w="1304"/>
          </w:tcPr>
          <w:p>
            <w:r>
              <w:rPr>
                <w:sz w:val="18"/>
              </w:rPr>
              <w:t>100.0%</w:t>
            </w:r>
          </w:p>
        </w:tc>
        <w:tc>
          <w:tcPr>
            <w:tcW w:type="dxa" w:w="1417"/>
          </w:tcPr>
          <w:p>
            <w:r>
              <w:rPr>
                <w:sz w:val="18"/>
              </w:rPr>
              <w:t>8 wk</w:t>
            </w:r>
          </w:p>
        </w:tc>
      </w:tr>
      <w:tr>
        <w:tc>
          <w:tcPr>
            <w:tcW w:type="dxa" w:w="1417"/>
          </w:tcPr>
          <w:p>
            <w:r>
              <w:rPr>
                <w:sz w:val="18"/>
              </w:rPr>
              <w:t>Fabric</w:t>
            </w:r>
          </w:p>
        </w:tc>
        <w:tc>
          <w:tcPr>
            <w:tcW w:type="dxa" w:w="1304"/>
          </w:tcPr>
          <w:p>
            <w:r>
              <w:rPr>
                <w:sz w:val="18"/>
              </w:rPr>
              <w:t>0.67×</w:t>
            </w:r>
          </w:p>
        </w:tc>
        <w:tc>
          <w:tcPr>
            <w:tcW w:type="dxa" w:w="1417"/>
          </w:tcPr>
          <w:p>
            <w:r>
              <w:rPr>
                <w:sz w:val="18"/>
              </w:rPr>
              <w:t>100.0%</w:t>
            </w:r>
          </w:p>
        </w:tc>
        <w:tc>
          <w:tcPr>
            <w:tcW w:type="dxa" w:w="1304"/>
          </w:tcPr>
          <w:p>
            <w:r>
              <w:rPr>
                <w:sz w:val="18"/>
              </w:rPr>
              <w:t>100.0%</w:t>
            </w:r>
          </w:p>
        </w:tc>
        <w:tc>
          <w:tcPr>
            <w:tcW w:type="dxa" w:w="1417"/>
          </w:tcPr>
          <w:p>
            <w:r>
              <w:rPr>
                <w:sz w:val="18"/>
              </w:rPr>
              <w:t>5 wk</w:t>
            </w:r>
          </w:p>
        </w:tc>
      </w:tr>
      <w:tr>
        <w:tc>
          <w:tcPr>
            <w:tcW w:type="dxa" w:w="1417"/>
          </w:tcPr>
          <w:p>
            <w:r>
              <w:rPr>
                <w:sz w:val="18"/>
              </w:rPr>
              <w:t>Garment</w:t>
            </w:r>
          </w:p>
        </w:tc>
        <w:tc>
          <w:tcPr>
            <w:tcW w:type="dxa" w:w="1304"/>
          </w:tcPr>
          <w:p>
            <w:r>
              <w:rPr>
                <w:sz w:val="18"/>
              </w:rPr>
              <w:t>0.67×</w:t>
            </w:r>
          </w:p>
        </w:tc>
        <w:tc>
          <w:tcPr>
            <w:tcW w:type="dxa" w:w="1417"/>
          </w:tcPr>
          <w:p>
            <w:r>
              <w:rPr>
                <w:sz w:val="18"/>
              </w:rPr>
              <w:t>100.0%</w:t>
            </w:r>
          </w:p>
        </w:tc>
        <w:tc>
          <w:tcPr>
            <w:tcW w:type="dxa" w:w="1304"/>
          </w:tcPr>
          <w:p>
            <w:r>
              <w:rPr>
                <w:sz w:val="18"/>
              </w:rPr>
              <w:t>100.0%</w:t>
            </w:r>
          </w:p>
        </w:tc>
        <w:tc>
          <w:tcPr>
            <w:tcW w:type="dxa" w:w="1417"/>
          </w:tcPr>
          <w:p>
            <w:r>
              <w:rPr>
                <w:sz w:val="18"/>
              </w:rPr>
              <w:t>0 wk</w:t>
            </w:r>
          </w:p>
        </w:tc>
      </w:tr>
      <w:tr>
        <w:tc>
          <w:tcPr>
            <w:tcW w:type="dxa" w:w="1417"/>
          </w:tcPr>
          <w:p>
            <w:r>
              <w:rPr>
                <w:sz w:val="18"/>
              </w:rPr>
              <w:t>Wholesale</w:t>
            </w:r>
          </w:p>
        </w:tc>
        <w:tc>
          <w:tcPr>
            <w:tcW w:type="dxa" w:w="1304"/>
          </w:tcPr>
          <w:p>
            <w:r>
              <w:rPr>
                <w:sz w:val="18"/>
              </w:rPr>
              <w:t>0.67×</w:t>
            </w:r>
          </w:p>
        </w:tc>
        <w:tc>
          <w:tcPr>
            <w:tcW w:type="dxa" w:w="1417"/>
          </w:tcPr>
          <w:p>
            <w:r>
              <w:rPr>
                <w:sz w:val="18"/>
              </w:rPr>
              <w:t>100.0%</w:t>
            </w:r>
          </w:p>
        </w:tc>
        <w:tc>
          <w:tcPr>
            <w:tcW w:type="dxa" w:w="1304"/>
          </w:tcPr>
          <w:p>
            <w:r>
              <w:rPr>
                <w:sz w:val="18"/>
              </w:rPr>
              <w:t>100.0%</w:t>
            </w:r>
          </w:p>
        </w:tc>
        <w:tc>
          <w:tcPr>
            <w:tcW w:type="dxa" w:w="1417"/>
          </w:tcPr>
          <w:p>
            <w:r>
              <w:rPr>
                <w:sz w:val="18"/>
              </w:rPr>
              <w:t>0 wk</w:t>
            </w:r>
          </w:p>
        </w:tc>
      </w:tr>
      <w:tr>
        <w:tc>
          <w:tcPr>
            <w:tcW w:type="dxa" w:w="1417"/>
          </w:tcPr>
          <w:p>
            <w:r>
              <w:rPr>
                <w:sz w:val="18"/>
              </w:rPr>
              <w:t>Retail</w:t>
            </w:r>
          </w:p>
        </w:tc>
        <w:tc>
          <w:tcPr>
            <w:tcW w:type="dxa" w:w="1304"/>
          </w:tcPr>
          <w:p>
            <w:r>
              <w:rPr>
                <w:sz w:val="18"/>
              </w:rPr>
              <w:t>1.00×</w:t>
            </w:r>
          </w:p>
        </w:tc>
        <w:tc>
          <w:tcPr>
            <w:tcW w:type="dxa" w:w="1417"/>
          </w:tcPr>
          <w:p>
            <w:r>
              <w:rPr>
                <w:sz w:val="18"/>
              </w:rPr>
              <w:t>100.0%</w:t>
            </w:r>
          </w:p>
        </w:tc>
        <w:tc>
          <w:tcPr>
            <w:tcW w:type="dxa" w:w="1304"/>
          </w:tcPr>
          <w:p>
            <w:r>
              <w:rPr>
                <w:sz w:val="18"/>
              </w:rPr>
              <w:t>100.0%</w:t>
            </w:r>
          </w:p>
        </w:tc>
        <w:tc>
          <w:tcPr>
            <w:tcW w:type="dxa" w:w="1417"/>
          </w:tcPr>
          <w:p>
            <w:r>
              <w:rPr>
                <w:sz w:val="18"/>
              </w:rPr>
              <w:t>0 wk</w:t>
            </w:r>
          </w:p>
        </w:tc>
      </w:tr>
    </w:tbl>
    <w:p>
      <w:r>
        <w:rPr>
          <w:i/>
          <w:color w:val="646464"/>
          <w:sz w:val="17"/>
        </w:rPr>
        <w:t>Source: Bullwhip Ratio = Var(sector orders) / Var(retail orders). Service Level = fraction of periods with zero shortage. Fill Rate = 1 − total_shortage / total_orders. Recovery Time = weeks from shock onset until capacity ≥ 95% baseline. 'No recovery' = sector does not recover within 52-week window. ABM: Beer Distribution Game, Sterman (1989) θ=4 anchored order rule, 3 agents per sector, exponential smoothing α=0.3.</w:t>
      </w:r>
    </w:p>
    <w:p>
      <w:pPr>
        <w:jc w:val="both"/>
      </w:pPr>
      <w:r>
        <w:rPr>
          <w:b/>
          <w:i w:val="0"/>
          <w:sz w:val="21"/>
        </w:rPr>
        <w:t>Summary for S4: IO supply shortage loss £0.391bn; CGE welfare loss £0.946bn; maximum CGE price rise 2.6% at PET.</w:t>
      </w:r>
    </w:p>
    <w:p/>
    <w:p>
      <w:pPr>
        <w:pStyle w:val="Heading3"/>
      </w:pPr>
      <w:r>
        <w:t>S5: Multi-Node Pandemic Shock</w:t>
      </w:r>
    </w:p>
    <w:p>
      <w:pPr>
        <w:jc w:val="both"/>
      </w:pPr>
      <w:r>
        <w:rPr>
          <w:b w:val="0"/>
          <w:i w:val="0"/>
          <w:sz w:val="21"/>
        </w:rPr>
        <w:t>Simultaneous disruption across multiple supply chain nodes, calibrated to COVID-19 2020 Q1 severity. Chinese manufacturing closes 60% for 6 weeks; shipping delays extend China–UK transit from 37 to ~70 days; Bangladesh/Vietnam garment assembly disrupted; UK wholesale logistics partially impaired; demand collapses 40% then surges 60% post-lockdown. This tests end-to-end systemic resilience. IO shocks: PTA −60%, PET −60%, Fabric −55%, Garment −50%, Wholesale −20%. Duration: 52 weeks.</w:t>
      </w:r>
    </w:p>
    <w:p>
      <w:pPr>
        <w:jc w:val="both"/>
      </w:pPr>
      <w:r>
        <w:rPr>
          <w:b w:val="0"/>
          <w:i/>
          <w:sz w:val="19"/>
        </w:rPr>
        <w:t>Calibration: cge_supply: PTA=0.40, PET=0.40, Fabric=0.45, Garment=0.50, Wholesale=0.80. io_shocks at week 4: PTA −60%, PET −60%, Fabric −55%, Garment −50%, Wholesale −20%. abm_schedule: China PTA/PET/Fabric severity 0.55–0.60 duration 6–8wk (wk4); Bangladesh Garment severity 0.50 duration 6wk (wk5); Vietnam Garment severity 0.45 (wk6); UK Wholesale severity 0.20 duration 4wk (wk10). Reference: COVID-19 supply chain disruptions 2020–2021; NBS PMI Feb 2020=35.7.</w:t>
      </w:r>
    </w:p>
    <w:p>
      <w:pPr>
        <w:jc w:val="both"/>
      </w:pPr>
      <w:r>
        <w:rPr>
          <w:b/>
          <w:i w:val="0"/>
          <w:sz w:val="21"/>
        </w:rPr>
        <w:t>2.2.1  CGE Equilibrium Prices</w:t>
      </w:r>
    </w:p>
    <w:tbl>
      <w:tblPr>
        <w:tblStyle w:val="LightShading-Accent1"/>
        <w:tblW w:type="auto" w:w="0"/>
        <w:tblLook w:firstColumn="1" w:firstRow="1" w:lastColumn="0" w:lastRow="0" w:noHBand="0" w:noVBand="1" w:val="04A0"/>
      </w:tblPr>
      <w:tblGrid>
        <w:gridCol w:w="2266"/>
        <w:gridCol w:w="2266"/>
        <w:gridCol w:w="2266"/>
        <w:gridCol w:w="2266"/>
      </w:tblGrid>
      <w:tr>
        <w:tc>
          <w:tcPr>
            <w:tcW w:type="dxa" w:w="1417"/>
          </w:tcPr>
          <w:p>
            <w:r>
              <w:rPr>
                <w:b/>
                <w:sz w:val="18"/>
              </w:rPr>
              <w:t>Sector</w:t>
            </w:r>
          </w:p>
        </w:tc>
        <w:tc>
          <w:tcPr>
            <w:tcW w:type="dxa" w:w="1814"/>
          </w:tcPr>
          <w:p>
            <w:r>
              <w:rPr>
                <w:b/>
                <w:sz w:val="18"/>
              </w:rPr>
              <w:t>Avg Price Index (×baseline)</w:t>
            </w:r>
          </w:p>
        </w:tc>
        <w:tc>
          <w:tcPr>
            <w:tcW w:type="dxa" w:w="1701"/>
          </w:tcPr>
          <w:p>
            <w:r>
              <w:rPr>
                <w:b/>
                <w:sz w:val="18"/>
              </w:rPr>
              <w:t>% Change from Baseline</w:t>
            </w:r>
          </w:p>
        </w:tc>
        <w:tc>
          <w:tcPr>
            <w:tcW w:type="dxa" w:w="1701"/>
          </w:tcPr>
          <w:p>
            <w:r>
              <w:rPr>
                <w:b/>
                <w:sz w:val="18"/>
              </w:rPr>
              <w:t>Interpretation</w:t>
            </w:r>
          </w:p>
        </w:tc>
      </w:tr>
      <w:tr>
        <w:tc>
          <w:tcPr>
            <w:tcW w:type="dxa" w:w="1417"/>
          </w:tcPr>
          <w:p>
            <w:r>
              <w:rPr>
                <w:sz w:val="18"/>
              </w:rPr>
              <w:t>Oil</w:t>
            </w:r>
          </w:p>
        </w:tc>
        <w:tc>
          <w:tcPr>
            <w:tcW w:type="dxa" w:w="1814"/>
          </w:tcPr>
          <w:p>
            <w:r>
              <w:rPr>
                <w:sz w:val="18"/>
              </w:rPr>
              <w:t>1.0000</w:t>
            </w:r>
          </w:p>
        </w:tc>
        <w:tc>
          <w:tcPr>
            <w:tcW w:type="dxa" w:w="1701"/>
          </w:tcPr>
          <w:p>
            <w:r>
              <w:rPr>
                <w:sz w:val="18"/>
              </w:rPr>
              <w:t>+0.00%</w:t>
            </w:r>
          </w:p>
        </w:tc>
        <w:tc>
          <w:tcPr>
            <w:tcW w:type="dxa" w:w="1701"/>
          </w:tcPr>
          <w:p>
            <w:r>
              <w:rPr>
                <w:sz w:val="18"/>
              </w:rPr>
              <w:t>Negligible</w:t>
            </w:r>
          </w:p>
        </w:tc>
      </w:tr>
      <w:tr>
        <w:tc>
          <w:tcPr>
            <w:tcW w:type="dxa" w:w="1417"/>
          </w:tcPr>
          <w:p>
            <w:r>
              <w:rPr>
                <w:sz w:val="18"/>
              </w:rPr>
              <w:t>Chemical</w:t>
            </w:r>
          </w:p>
        </w:tc>
        <w:tc>
          <w:tcPr>
            <w:tcW w:type="dxa" w:w="1814"/>
          </w:tcPr>
          <w:p>
            <w:r>
              <w:rPr>
                <w:sz w:val="18"/>
              </w:rPr>
              <w:t>1.0000</w:t>
            </w:r>
          </w:p>
        </w:tc>
        <w:tc>
          <w:tcPr>
            <w:tcW w:type="dxa" w:w="1701"/>
          </w:tcPr>
          <w:p>
            <w:r>
              <w:rPr>
                <w:sz w:val="18"/>
              </w:rPr>
              <w:t>+0.00%</w:t>
            </w:r>
          </w:p>
        </w:tc>
        <w:tc>
          <w:tcPr>
            <w:tcW w:type="dxa" w:w="1701"/>
          </w:tcPr>
          <w:p>
            <w:r>
              <w:rPr>
                <w:sz w:val="18"/>
              </w:rPr>
              <w:t>Negligible</w:t>
            </w:r>
          </w:p>
        </w:tc>
      </w:tr>
      <w:tr>
        <w:tc>
          <w:tcPr>
            <w:tcW w:type="dxa" w:w="1417"/>
          </w:tcPr>
          <w:p>
            <w:r>
              <w:rPr>
                <w:sz w:val="18"/>
              </w:rPr>
              <w:t>PTA</w:t>
            </w:r>
          </w:p>
        </w:tc>
        <w:tc>
          <w:tcPr>
            <w:tcW w:type="dxa" w:w="1814"/>
          </w:tcPr>
          <w:p>
            <w:r>
              <w:rPr>
                <w:sz w:val="18"/>
              </w:rPr>
              <w:t>1.1989</w:t>
            </w:r>
          </w:p>
        </w:tc>
        <w:tc>
          <w:tcPr>
            <w:tcW w:type="dxa" w:w="1701"/>
          </w:tcPr>
          <w:p>
            <w:r>
              <w:rPr>
                <w:sz w:val="18"/>
              </w:rPr>
              <w:t>+19.89%</w:t>
            </w:r>
          </w:p>
        </w:tc>
        <w:tc>
          <w:tcPr>
            <w:tcW w:type="dxa" w:w="1701"/>
          </w:tcPr>
          <w:p>
            <w:r>
              <w:rPr>
                <w:sz w:val="18"/>
              </w:rPr>
              <w:t>Major disruption</w:t>
            </w:r>
          </w:p>
        </w:tc>
      </w:tr>
      <w:tr>
        <w:tc>
          <w:tcPr>
            <w:tcW w:type="dxa" w:w="1417"/>
          </w:tcPr>
          <w:p>
            <w:r>
              <w:rPr>
                <w:sz w:val="18"/>
              </w:rPr>
              <w:t>PET</w:t>
            </w:r>
          </w:p>
        </w:tc>
        <w:tc>
          <w:tcPr>
            <w:tcW w:type="dxa" w:w="1814"/>
          </w:tcPr>
          <w:p>
            <w:r>
              <w:rPr>
                <w:sz w:val="18"/>
              </w:rPr>
              <w:t>1.1680</w:t>
            </w:r>
          </w:p>
        </w:tc>
        <w:tc>
          <w:tcPr>
            <w:tcW w:type="dxa" w:w="1701"/>
          </w:tcPr>
          <w:p>
            <w:r>
              <w:rPr>
                <w:sz w:val="18"/>
              </w:rPr>
              <w:t>+16.80%</w:t>
            </w:r>
          </w:p>
        </w:tc>
        <w:tc>
          <w:tcPr>
            <w:tcW w:type="dxa" w:w="1701"/>
          </w:tcPr>
          <w:p>
            <w:r>
              <w:rPr>
                <w:sz w:val="18"/>
              </w:rPr>
              <w:t>Major disruption</w:t>
            </w:r>
          </w:p>
        </w:tc>
      </w:tr>
      <w:tr>
        <w:tc>
          <w:tcPr>
            <w:tcW w:type="dxa" w:w="1417"/>
          </w:tcPr>
          <w:p>
            <w:r>
              <w:rPr>
                <w:sz w:val="18"/>
              </w:rPr>
              <w:t>Fabric</w:t>
            </w:r>
          </w:p>
        </w:tc>
        <w:tc>
          <w:tcPr>
            <w:tcW w:type="dxa" w:w="1814"/>
          </w:tcPr>
          <w:p>
            <w:r>
              <w:rPr>
                <w:sz w:val="18"/>
              </w:rPr>
              <w:t>1.0850</w:t>
            </w:r>
          </w:p>
        </w:tc>
        <w:tc>
          <w:tcPr>
            <w:tcW w:type="dxa" w:w="1701"/>
          </w:tcPr>
          <w:p>
            <w:r>
              <w:rPr>
                <w:sz w:val="18"/>
              </w:rPr>
              <w:t>+8.50%</w:t>
            </w:r>
          </w:p>
        </w:tc>
        <w:tc>
          <w:tcPr>
            <w:tcW w:type="dxa" w:w="1701"/>
          </w:tcPr>
          <w:p>
            <w:r>
              <w:rPr>
                <w:sz w:val="18"/>
              </w:rPr>
              <w:t>Moderate</w:t>
            </w:r>
          </w:p>
        </w:tc>
      </w:tr>
      <w:tr>
        <w:tc>
          <w:tcPr>
            <w:tcW w:type="dxa" w:w="1417"/>
          </w:tcPr>
          <w:p>
            <w:r>
              <w:rPr>
                <w:sz w:val="18"/>
              </w:rPr>
              <w:t>Garment</w:t>
            </w:r>
          </w:p>
        </w:tc>
        <w:tc>
          <w:tcPr>
            <w:tcW w:type="dxa" w:w="1814"/>
          </w:tcPr>
          <w:p>
            <w:r>
              <w:rPr>
                <w:sz w:val="18"/>
              </w:rPr>
              <w:t>1.0873</w:t>
            </w:r>
          </w:p>
        </w:tc>
        <w:tc>
          <w:tcPr>
            <w:tcW w:type="dxa" w:w="1701"/>
          </w:tcPr>
          <w:p>
            <w:r>
              <w:rPr>
                <w:sz w:val="18"/>
              </w:rPr>
              <w:t>+8.73%</w:t>
            </w:r>
          </w:p>
        </w:tc>
        <w:tc>
          <w:tcPr>
            <w:tcW w:type="dxa" w:w="1701"/>
          </w:tcPr>
          <w:p>
            <w:r>
              <w:rPr>
                <w:sz w:val="18"/>
              </w:rPr>
              <w:t>Moderate</w:t>
            </w:r>
          </w:p>
        </w:tc>
      </w:tr>
      <w:tr>
        <w:tc>
          <w:tcPr>
            <w:tcW w:type="dxa" w:w="1417"/>
          </w:tcPr>
          <w:p>
            <w:r>
              <w:rPr>
                <w:sz w:val="18"/>
              </w:rPr>
              <w:t>Wholesale</w:t>
            </w:r>
          </w:p>
        </w:tc>
        <w:tc>
          <w:tcPr>
            <w:tcW w:type="dxa" w:w="1814"/>
          </w:tcPr>
          <w:p>
            <w:r>
              <w:rPr>
                <w:sz w:val="18"/>
              </w:rPr>
              <w:t>1.0898</w:t>
            </w:r>
          </w:p>
        </w:tc>
        <w:tc>
          <w:tcPr>
            <w:tcW w:type="dxa" w:w="1701"/>
          </w:tcPr>
          <w:p>
            <w:r>
              <w:rPr>
                <w:sz w:val="18"/>
              </w:rPr>
              <w:t>+8.98%</w:t>
            </w:r>
          </w:p>
        </w:tc>
        <w:tc>
          <w:tcPr>
            <w:tcW w:type="dxa" w:w="1701"/>
          </w:tcPr>
          <w:p>
            <w:r>
              <w:rPr>
                <w:sz w:val="18"/>
              </w:rPr>
              <w:t>Moderate</w:t>
            </w:r>
          </w:p>
        </w:tc>
      </w:tr>
      <w:tr>
        <w:tc>
          <w:tcPr>
            <w:tcW w:type="dxa" w:w="1417"/>
          </w:tcPr>
          <w:p>
            <w:r>
              <w:rPr>
                <w:sz w:val="18"/>
              </w:rPr>
              <w:t>Retail</w:t>
            </w:r>
          </w:p>
        </w:tc>
        <w:tc>
          <w:tcPr>
            <w:tcW w:type="dxa" w:w="1814"/>
          </w:tcPr>
          <w:p>
            <w:r>
              <w:rPr>
                <w:sz w:val="18"/>
              </w:rPr>
              <w:t>1.0696</w:t>
            </w:r>
          </w:p>
        </w:tc>
        <w:tc>
          <w:tcPr>
            <w:tcW w:type="dxa" w:w="1701"/>
          </w:tcPr>
          <w:p>
            <w:r>
              <w:rPr>
                <w:sz w:val="18"/>
              </w:rPr>
              <w:t>+6.96%</w:t>
            </w:r>
          </w:p>
        </w:tc>
        <w:tc>
          <w:tcPr>
            <w:tcW w:type="dxa" w:w="1701"/>
          </w:tcPr>
          <w:p>
            <w:r>
              <w:rPr>
                <w:sz w:val="18"/>
              </w:rPr>
              <w:t>Moderate</w:t>
            </w:r>
          </w:p>
        </w:tc>
      </w:tr>
    </w:tbl>
    <w:p>
      <w:pPr>
        <w:jc w:val="both"/>
      </w:pPr>
      <w:r>
        <w:rPr>
          <w:b w:val="0"/>
          <w:i/>
          <w:sz w:val="20"/>
        </w:rPr>
        <w:t>Period-average welfare change: £-6.342bn (loss).  Peak period price: 2.046×baseline.</w:t>
      </w:r>
    </w:p>
    <w:p>
      <w:pPr>
        <w:jc w:val="both"/>
      </w:pPr>
      <w:r>
        <w:rPr>
          <w:b/>
          <w:i w:val="0"/>
          <w:sz w:val="21"/>
        </w:rPr>
        <w:t>2.2.2  IO Model: Worst-Week Output Drop and Shortage</w:t>
      </w:r>
    </w:p>
    <w:tbl>
      <w:tblPr>
        <w:tblStyle w:val="LightShading-Accent1"/>
        <w:tblW w:type="auto" w:w="0"/>
        <w:tblLook w:firstColumn="1" w:firstRow="1" w:lastColumn="0" w:lastRow="0" w:noHBand="0" w:noVBand="1" w:val="04A0"/>
      </w:tblPr>
      <w:tblGrid>
        <w:gridCol w:w="1813"/>
        <w:gridCol w:w="1813"/>
        <w:gridCol w:w="1813"/>
        <w:gridCol w:w="1813"/>
        <w:gridCol w:w="1813"/>
      </w:tblGrid>
      <w:tr>
        <w:tc>
          <w:tcPr>
            <w:tcW w:type="dxa" w:w="1417"/>
          </w:tcPr>
          <w:p>
            <w:r>
              <w:rPr>
                <w:b/>
                <w:sz w:val="18"/>
              </w:rPr>
              <w:t>Sector</w:t>
            </w:r>
          </w:p>
        </w:tc>
        <w:tc>
          <w:tcPr>
            <w:tcW w:type="dxa" w:w="1417"/>
          </w:tcPr>
          <w:p>
            <w:r>
              <w:rPr>
                <w:b/>
                <w:sz w:val="18"/>
              </w:rPr>
              <w:t>Baseline Output (norm.)</w:t>
            </w:r>
          </w:p>
        </w:tc>
        <w:tc>
          <w:tcPr>
            <w:tcW w:type="dxa" w:w="1587"/>
          </w:tcPr>
          <w:p>
            <w:r>
              <w:rPr>
                <w:b/>
                <w:sz w:val="18"/>
              </w:rPr>
              <w:t>Worst-Week Output (norm.)</w:t>
            </w:r>
          </w:p>
        </w:tc>
        <w:tc>
          <w:tcPr>
            <w:tcW w:type="dxa" w:w="1417"/>
          </w:tcPr>
          <w:p>
            <w:r>
              <w:rPr>
                <w:b/>
                <w:sz w:val="18"/>
              </w:rPr>
              <w:t>Max Output Drop (%)</w:t>
            </w:r>
          </w:p>
        </w:tc>
        <w:tc>
          <w:tcPr>
            <w:tcW w:type="dxa" w:w="1587"/>
          </w:tcPr>
          <w:p>
            <w:r>
              <w:rPr>
                <w:b/>
                <w:sz w:val="18"/>
              </w:rPr>
              <w:t>Total Shortage (norm.)</w:t>
            </w:r>
          </w:p>
        </w:tc>
      </w:tr>
      <w:tr>
        <w:tc>
          <w:tcPr>
            <w:tcW w:type="dxa" w:w="1417"/>
          </w:tcPr>
          <w:p>
            <w:r>
              <w:rPr>
                <w:sz w:val="18"/>
              </w:rPr>
              <w:t>Oil</w:t>
            </w:r>
          </w:p>
        </w:tc>
        <w:tc>
          <w:tcPr>
            <w:tcW w:type="dxa" w:w="1417"/>
          </w:tcPr>
          <w:p>
            <w:r>
              <w:rPr>
                <w:sz w:val="18"/>
              </w:rPr>
              <w:t>0.0005</w:t>
            </w:r>
          </w:p>
        </w:tc>
        <w:tc>
          <w:tcPr>
            <w:tcW w:type="dxa" w:w="1587"/>
          </w:tcPr>
          <w:p>
            <w:r>
              <w:rPr>
                <w:sz w:val="18"/>
              </w:rPr>
              <w:t>0.0005</w:t>
            </w:r>
          </w:p>
        </w:tc>
        <w:tc>
          <w:tcPr>
            <w:tcW w:type="dxa" w:w="1417"/>
          </w:tcPr>
          <w:p>
            <w:r>
              <w:rPr>
                <w:sz w:val="18"/>
              </w:rPr>
              <w:t>+0.0%</w:t>
            </w:r>
          </w:p>
        </w:tc>
        <w:tc>
          <w:tcPr>
            <w:tcW w:type="dxa" w:w="1587"/>
          </w:tcPr>
          <w:p>
            <w:r>
              <w:rPr>
                <w:sz w:val="18"/>
              </w:rPr>
              <w:t>0.0000</w:t>
            </w:r>
          </w:p>
        </w:tc>
      </w:tr>
      <w:tr>
        <w:tc>
          <w:tcPr>
            <w:tcW w:type="dxa" w:w="1417"/>
          </w:tcPr>
          <w:p>
            <w:r>
              <w:rPr>
                <w:sz w:val="18"/>
              </w:rPr>
              <w:t>Chemical</w:t>
            </w:r>
          </w:p>
        </w:tc>
        <w:tc>
          <w:tcPr>
            <w:tcW w:type="dxa" w:w="1417"/>
          </w:tcPr>
          <w:p>
            <w:r>
              <w:rPr>
                <w:sz w:val="18"/>
              </w:rPr>
              <w:t>0.0021</w:t>
            </w:r>
          </w:p>
        </w:tc>
        <w:tc>
          <w:tcPr>
            <w:tcW w:type="dxa" w:w="1587"/>
          </w:tcPr>
          <w:p>
            <w:r>
              <w:rPr>
                <w:sz w:val="18"/>
              </w:rPr>
              <w:t>0.0021</w:t>
            </w:r>
          </w:p>
        </w:tc>
        <w:tc>
          <w:tcPr>
            <w:tcW w:type="dxa" w:w="1417"/>
          </w:tcPr>
          <w:p>
            <w:r>
              <w:rPr>
                <w:sz w:val="18"/>
              </w:rPr>
              <w:t>+0.0%</w:t>
            </w:r>
          </w:p>
        </w:tc>
        <w:tc>
          <w:tcPr>
            <w:tcW w:type="dxa" w:w="1587"/>
          </w:tcPr>
          <w:p>
            <w:r>
              <w:rPr>
                <w:sz w:val="18"/>
              </w:rPr>
              <w:t>0.0000</w:t>
            </w:r>
          </w:p>
        </w:tc>
      </w:tr>
      <w:tr>
        <w:tc>
          <w:tcPr>
            <w:tcW w:type="dxa" w:w="1417"/>
          </w:tcPr>
          <w:p>
            <w:r>
              <w:rPr>
                <w:sz w:val="18"/>
              </w:rPr>
              <w:t>PTA</w:t>
            </w:r>
          </w:p>
        </w:tc>
        <w:tc>
          <w:tcPr>
            <w:tcW w:type="dxa" w:w="1417"/>
          </w:tcPr>
          <w:p>
            <w:r>
              <w:rPr>
                <w:sz w:val="18"/>
              </w:rPr>
              <w:t>0.0016</w:t>
            </w:r>
          </w:p>
        </w:tc>
        <w:tc>
          <w:tcPr>
            <w:tcW w:type="dxa" w:w="1587"/>
          </w:tcPr>
          <w:p>
            <w:r>
              <w:rPr>
                <w:sz w:val="18"/>
              </w:rPr>
              <w:t>0.0006</w:t>
            </w:r>
          </w:p>
        </w:tc>
        <w:tc>
          <w:tcPr>
            <w:tcW w:type="dxa" w:w="1417"/>
          </w:tcPr>
          <w:p>
            <w:r>
              <w:rPr>
                <w:sz w:val="18"/>
              </w:rPr>
              <w:t>-60.0%</w:t>
            </w:r>
          </w:p>
        </w:tc>
        <w:tc>
          <w:tcPr>
            <w:tcW w:type="dxa" w:w="1587"/>
          </w:tcPr>
          <w:p>
            <w:r>
              <w:rPr>
                <w:sz w:val="18"/>
              </w:rPr>
              <w:t>0.0156</w:t>
            </w:r>
          </w:p>
        </w:tc>
      </w:tr>
      <w:tr>
        <w:tc>
          <w:tcPr>
            <w:tcW w:type="dxa" w:w="1417"/>
          </w:tcPr>
          <w:p>
            <w:r>
              <w:rPr>
                <w:sz w:val="18"/>
              </w:rPr>
              <w:t>PET</w:t>
            </w:r>
          </w:p>
        </w:tc>
        <w:tc>
          <w:tcPr>
            <w:tcW w:type="dxa" w:w="1417"/>
          </w:tcPr>
          <w:p>
            <w:r>
              <w:rPr>
                <w:sz w:val="18"/>
              </w:rPr>
              <w:t>0.0029</w:t>
            </w:r>
          </w:p>
        </w:tc>
        <w:tc>
          <w:tcPr>
            <w:tcW w:type="dxa" w:w="1587"/>
          </w:tcPr>
          <w:p>
            <w:r>
              <w:rPr>
                <w:sz w:val="18"/>
              </w:rPr>
              <w:t>0.0011</w:t>
            </w:r>
          </w:p>
        </w:tc>
        <w:tc>
          <w:tcPr>
            <w:tcW w:type="dxa" w:w="1417"/>
          </w:tcPr>
          <w:p>
            <w:r>
              <w:rPr>
                <w:sz w:val="18"/>
              </w:rPr>
              <w:t>-60.0%</w:t>
            </w:r>
          </w:p>
        </w:tc>
        <w:tc>
          <w:tcPr>
            <w:tcW w:type="dxa" w:w="1587"/>
          </w:tcPr>
          <w:p>
            <w:r>
              <w:rPr>
                <w:sz w:val="18"/>
              </w:rPr>
              <w:t>0.0259</w:t>
            </w:r>
          </w:p>
        </w:tc>
      </w:tr>
      <w:tr>
        <w:tc>
          <w:tcPr>
            <w:tcW w:type="dxa" w:w="1417"/>
          </w:tcPr>
          <w:p>
            <w:r>
              <w:rPr>
                <w:sz w:val="18"/>
              </w:rPr>
              <w:t>Fabric</w:t>
            </w:r>
          </w:p>
        </w:tc>
        <w:tc>
          <w:tcPr>
            <w:tcW w:type="dxa" w:w="1417"/>
          </w:tcPr>
          <w:p>
            <w:r>
              <w:rPr>
                <w:sz w:val="18"/>
              </w:rPr>
              <w:t>0.0064</w:t>
            </w:r>
          </w:p>
        </w:tc>
        <w:tc>
          <w:tcPr>
            <w:tcW w:type="dxa" w:w="1587"/>
          </w:tcPr>
          <w:p>
            <w:r>
              <w:rPr>
                <w:sz w:val="18"/>
              </w:rPr>
              <w:t>0.0026</w:t>
            </w:r>
          </w:p>
        </w:tc>
        <w:tc>
          <w:tcPr>
            <w:tcW w:type="dxa" w:w="1417"/>
          </w:tcPr>
          <w:p>
            <w:r>
              <w:rPr>
                <w:sz w:val="18"/>
              </w:rPr>
              <w:t>-60.0%</w:t>
            </w:r>
          </w:p>
        </w:tc>
        <w:tc>
          <w:tcPr>
            <w:tcW w:type="dxa" w:w="1587"/>
          </w:tcPr>
          <w:p>
            <w:r>
              <w:rPr>
                <w:sz w:val="18"/>
              </w:rPr>
              <w:t>0.0681</w:t>
            </w:r>
          </w:p>
        </w:tc>
      </w:tr>
      <w:tr>
        <w:tc>
          <w:tcPr>
            <w:tcW w:type="dxa" w:w="1417"/>
          </w:tcPr>
          <w:p>
            <w:r>
              <w:rPr>
                <w:sz w:val="18"/>
              </w:rPr>
              <w:t>Garment</w:t>
            </w:r>
          </w:p>
        </w:tc>
        <w:tc>
          <w:tcPr>
            <w:tcW w:type="dxa" w:w="1417"/>
          </w:tcPr>
          <w:p>
            <w:r>
              <w:rPr>
                <w:sz w:val="18"/>
              </w:rPr>
              <w:t>0.0747</w:t>
            </w:r>
          </w:p>
        </w:tc>
        <w:tc>
          <w:tcPr>
            <w:tcW w:type="dxa" w:w="1587"/>
          </w:tcPr>
          <w:p>
            <w:r>
              <w:rPr>
                <w:sz w:val="18"/>
              </w:rPr>
              <w:t>0.0299</w:t>
            </w:r>
          </w:p>
        </w:tc>
        <w:tc>
          <w:tcPr>
            <w:tcW w:type="dxa" w:w="1417"/>
          </w:tcPr>
          <w:p>
            <w:r>
              <w:rPr>
                <w:sz w:val="18"/>
              </w:rPr>
              <w:t>-60.0%</w:t>
            </w:r>
          </w:p>
        </w:tc>
        <w:tc>
          <w:tcPr>
            <w:tcW w:type="dxa" w:w="1587"/>
          </w:tcPr>
          <w:p>
            <w:r>
              <w:rPr>
                <w:sz w:val="18"/>
              </w:rPr>
              <w:t>0.8266</w:t>
            </w:r>
          </w:p>
        </w:tc>
      </w:tr>
      <w:tr>
        <w:tc>
          <w:tcPr>
            <w:tcW w:type="dxa" w:w="1417"/>
          </w:tcPr>
          <w:p>
            <w:r>
              <w:rPr>
                <w:sz w:val="18"/>
              </w:rPr>
              <w:t>Wholesale</w:t>
            </w:r>
          </w:p>
        </w:tc>
        <w:tc>
          <w:tcPr>
            <w:tcW w:type="dxa" w:w="1417"/>
          </w:tcPr>
          <w:p>
            <w:r>
              <w:rPr>
                <w:sz w:val="18"/>
              </w:rPr>
              <w:t>0.2323</w:t>
            </w:r>
          </w:p>
        </w:tc>
        <w:tc>
          <w:tcPr>
            <w:tcW w:type="dxa" w:w="1587"/>
          </w:tcPr>
          <w:p>
            <w:r>
              <w:rPr>
                <w:sz w:val="18"/>
              </w:rPr>
              <w:t>0.0929</w:t>
            </w:r>
          </w:p>
        </w:tc>
        <w:tc>
          <w:tcPr>
            <w:tcW w:type="dxa" w:w="1417"/>
          </w:tcPr>
          <w:p>
            <w:r>
              <w:rPr>
                <w:sz w:val="18"/>
              </w:rPr>
              <w:t>-60.0%</w:t>
            </w:r>
          </w:p>
        </w:tc>
        <w:tc>
          <w:tcPr>
            <w:tcW w:type="dxa" w:w="1587"/>
          </w:tcPr>
          <w:p>
            <w:r>
              <w:rPr>
                <w:sz w:val="18"/>
              </w:rPr>
              <w:t>2.8593</w:t>
            </w:r>
          </w:p>
        </w:tc>
      </w:tr>
      <w:tr>
        <w:tc>
          <w:tcPr>
            <w:tcW w:type="dxa" w:w="1417"/>
          </w:tcPr>
          <w:p>
            <w:r>
              <w:rPr>
                <w:sz w:val="18"/>
              </w:rPr>
              <w:t>Retail</w:t>
            </w:r>
          </w:p>
        </w:tc>
        <w:tc>
          <w:tcPr>
            <w:tcW w:type="dxa" w:w="1417"/>
          </w:tcPr>
          <w:p>
            <w:r>
              <w:rPr>
                <w:sz w:val="18"/>
              </w:rPr>
              <w:t>1.0000</w:t>
            </w:r>
          </w:p>
        </w:tc>
        <w:tc>
          <w:tcPr>
            <w:tcW w:type="dxa" w:w="1587"/>
          </w:tcPr>
          <w:p>
            <w:r>
              <w:rPr>
                <w:sz w:val="18"/>
              </w:rPr>
              <w:t>0.4128</w:t>
            </w:r>
          </w:p>
        </w:tc>
        <w:tc>
          <w:tcPr>
            <w:tcW w:type="dxa" w:w="1417"/>
          </w:tcPr>
          <w:p>
            <w:r>
              <w:rPr>
                <w:sz w:val="18"/>
              </w:rPr>
              <w:t>-58.7%</w:t>
            </w:r>
          </w:p>
        </w:tc>
        <w:tc>
          <w:tcPr>
            <w:tcW w:type="dxa" w:w="1587"/>
          </w:tcPr>
          <w:p>
            <w:r>
              <w:rPr>
                <w:sz w:val="18"/>
              </w:rPr>
              <w:t>10.7791</w:t>
            </w:r>
          </w:p>
        </w:tc>
      </w:tr>
    </w:tbl>
    <w:p>
      <w:r>
        <w:rPr>
          <w:i/>
          <w:color w:val="646464"/>
          <w:sz w:val="17"/>
        </w:rPr>
        <w:t>Source: Output normalised: retail=1.0 at baseline. Shortage = cumulative unfulfilled demand across all 52 periods. IO model: Dynamic Leontief with transit-time lags and capacity recovery (rate = 4%/wk × B_diag).</w:t>
      </w:r>
    </w:p>
    <w:p>
      <w:pPr>
        <w:jc w:val="both"/>
      </w:pPr>
      <w:r>
        <w:rPr>
          <w:b/>
          <w:i w:val="0"/>
          <w:sz w:val="21"/>
        </w:rPr>
        <w:t>2.2.3  ABM: Bullwhip, Service Levels, Recovery Times</w:t>
      </w:r>
    </w:p>
    <w:tbl>
      <w:tblPr>
        <w:tblStyle w:val="LightShading-Accent1"/>
        <w:tblW w:type="auto" w:w="0"/>
        <w:tblLook w:firstColumn="1" w:firstRow="1" w:lastColumn="0" w:lastRow="0" w:noHBand="0" w:noVBand="1" w:val="04A0"/>
      </w:tblPr>
      <w:tblGrid>
        <w:gridCol w:w="1813"/>
        <w:gridCol w:w="1813"/>
        <w:gridCol w:w="1813"/>
        <w:gridCol w:w="1813"/>
        <w:gridCol w:w="1813"/>
      </w:tblGrid>
      <w:tr>
        <w:tc>
          <w:tcPr>
            <w:tcW w:type="dxa" w:w="1417"/>
          </w:tcPr>
          <w:p>
            <w:r>
              <w:rPr>
                <w:b/>
                <w:sz w:val="18"/>
              </w:rPr>
              <w:t>Sector</w:t>
            </w:r>
          </w:p>
        </w:tc>
        <w:tc>
          <w:tcPr>
            <w:tcW w:type="dxa" w:w="1304"/>
          </w:tcPr>
          <w:p>
            <w:r>
              <w:rPr>
                <w:b/>
                <w:sz w:val="18"/>
              </w:rPr>
              <w:t>Bullwhip Ratio</w:t>
            </w:r>
          </w:p>
        </w:tc>
        <w:tc>
          <w:tcPr>
            <w:tcW w:type="dxa" w:w="1417"/>
          </w:tcPr>
          <w:p>
            <w:r>
              <w:rPr>
                <w:b/>
                <w:sz w:val="18"/>
              </w:rPr>
              <w:t>Service Level (%)</w:t>
            </w:r>
          </w:p>
        </w:tc>
        <w:tc>
          <w:tcPr>
            <w:tcW w:type="dxa" w:w="1304"/>
          </w:tcPr>
          <w:p>
            <w:r>
              <w:rPr>
                <w:b/>
                <w:sz w:val="18"/>
              </w:rPr>
              <w:t>Fill Rate (%)</w:t>
            </w:r>
          </w:p>
        </w:tc>
        <w:tc>
          <w:tcPr>
            <w:tcW w:type="dxa" w:w="1417"/>
          </w:tcPr>
          <w:p>
            <w:r>
              <w:rPr>
                <w:b/>
                <w:sz w:val="18"/>
              </w:rPr>
              <w:t>Recovery Time</w:t>
            </w:r>
          </w:p>
        </w:tc>
      </w:tr>
      <w:tr>
        <w:tc>
          <w:tcPr>
            <w:tcW w:type="dxa" w:w="1417"/>
          </w:tcPr>
          <w:p>
            <w:r>
              <w:rPr>
                <w:sz w:val="18"/>
              </w:rPr>
              <w:t>Oil</w:t>
            </w:r>
          </w:p>
        </w:tc>
        <w:tc>
          <w:tcPr>
            <w:tcW w:type="dxa" w:w="1304"/>
          </w:tcPr>
          <w:p>
            <w:r>
              <w:rPr>
                <w:sz w:val="18"/>
              </w:rPr>
              <w:t>51.69×</w:t>
            </w:r>
          </w:p>
        </w:tc>
        <w:tc>
          <w:tcPr>
            <w:tcW w:type="dxa" w:w="1417"/>
          </w:tcPr>
          <w:p>
            <w:r>
              <w:rPr>
                <w:sz w:val="18"/>
              </w:rPr>
              <w:t>96.2%</w:t>
            </w:r>
          </w:p>
        </w:tc>
        <w:tc>
          <w:tcPr>
            <w:tcW w:type="dxa" w:w="1304"/>
          </w:tcPr>
          <w:p>
            <w:r>
              <w:rPr>
                <w:sz w:val="18"/>
              </w:rPr>
              <w:t>90.6%</w:t>
            </w:r>
          </w:p>
        </w:tc>
        <w:tc>
          <w:tcPr>
            <w:tcW w:type="dxa" w:w="1417"/>
          </w:tcPr>
          <w:p>
            <w:r>
              <w:rPr>
                <w:sz w:val="18"/>
              </w:rPr>
              <w:t>0 wk</w:t>
            </w:r>
          </w:p>
        </w:tc>
      </w:tr>
      <w:tr>
        <w:tc>
          <w:tcPr>
            <w:tcW w:type="dxa" w:w="1417"/>
          </w:tcPr>
          <w:p>
            <w:r>
              <w:rPr>
                <w:sz w:val="18"/>
              </w:rPr>
              <w:t>Chemical</w:t>
            </w:r>
          </w:p>
        </w:tc>
        <w:tc>
          <w:tcPr>
            <w:tcW w:type="dxa" w:w="1304"/>
          </w:tcPr>
          <w:p>
            <w:r>
              <w:rPr>
                <w:sz w:val="18"/>
              </w:rPr>
              <w:t>30.72×</w:t>
            </w:r>
          </w:p>
        </w:tc>
        <w:tc>
          <w:tcPr>
            <w:tcW w:type="dxa" w:w="1417"/>
          </w:tcPr>
          <w:p>
            <w:r>
              <w:rPr>
                <w:sz w:val="18"/>
              </w:rPr>
              <w:t>92.3%</w:t>
            </w:r>
          </w:p>
        </w:tc>
        <w:tc>
          <w:tcPr>
            <w:tcW w:type="dxa" w:w="1304"/>
          </w:tcPr>
          <w:p>
            <w:r>
              <w:rPr>
                <w:sz w:val="18"/>
              </w:rPr>
              <w:t>76.7%</w:t>
            </w:r>
          </w:p>
        </w:tc>
        <w:tc>
          <w:tcPr>
            <w:tcW w:type="dxa" w:w="1417"/>
          </w:tcPr>
          <w:p>
            <w:r>
              <w:rPr>
                <w:sz w:val="18"/>
              </w:rPr>
              <w:t>0 wk</w:t>
            </w:r>
          </w:p>
        </w:tc>
      </w:tr>
      <w:tr>
        <w:tc>
          <w:tcPr>
            <w:tcW w:type="dxa" w:w="1417"/>
          </w:tcPr>
          <w:p>
            <w:r>
              <w:rPr>
                <w:sz w:val="18"/>
              </w:rPr>
              <w:t>PTA</w:t>
            </w:r>
          </w:p>
        </w:tc>
        <w:tc>
          <w:tcPr>
            <w:tcW w:type="dxa" w:w="1304"/>
          </w:tcPr>
          <w:p>
            <w:r>
              <w:rPr>
                <w:sz w:val="18"/>
              </w:rPr>
              <w:t>15.51×</w:t>
            </w:r>
          </w:p>
        </w:tc>
        <w:tc>
          <w:tcPr>
            <w:tcW w:type="dxa" w:w="1417"/>
          </w:tcPr>
          <w:p>
            <w:r>
              <w:rPr>
                <w:sz w:val="18"/>
              </w:rPr>
              <w:t>94.2%</w:t>
            </w:r>
          </w:p>
        </w:tc>
        <w:tc>
          <w:tcPr>
            <w:tcW w:type="dxa" w:w="1304"/>
          </w:tcPr>
          <w:p>
            <w:r>
              <w:rPr>
                <w:sz w:val="18"/>
              </w:rPr>
              <w:t>89.6%</w:t>
            </w:r>
          </w:p>
        </w:tc>
        <w:tc>
          <w:tcPr>
            <w:tcW w:type="dxa" w:w="1417"/>
          </w:tcPr>
          <w:p>
            <w:r>
              <w:rPr>
                <w:sz w:val="18"/>
              </w:rPr>
              <w:t>24 wk</w:t>
            </w:r>
          </w:p>
        </w:tc>
      </w:tr>
      <w:tr>
        <w:tc>
          <w:tcPr>
            <w:tcW w:type="dxa" w:w="1417"/>
          </w:tcPr>
          <w:p>
            <w:r>
              <w:rPr>
                <w:sz w:val="18"/>
              </w:rPr>
              <w:t>PET</w:t>
            </w:r>
          </w:p>
        </w:tc>
        <w:tc>
          <w:tcPr>
            <w:tcW w:type="dxa" w:w="1304"/>
          </w:tcPr>
          <w:p>
            <w:r>
              <w:rPr>
                <w:sz w:val="18"/>
              </w:rPr>
              <w:t>8.25×</w:t>
            </w:r>
          </w:p>
        </w:tc>
        <w:tc>
          <w:tcPr>
            <w:tcW w:type="dxa" w:w="1417"/>
          </w:tcPr>
          <w:p>
            <w:r>
              <w:rPr>
                <w:sz w:val="18"/>
              </w:rPr>
              <w:t>100.0%</w:t>
            </w:r>
          </w:p>
        </w:tc>
        <w:tc>
          <w:tcPr>
            <w:tcW w:type="dxa" w:w="1304"/>
          </w:tcPr>
          <w:p>
            <w:r>
              <w:rPr>
                <w:sz w:val="18"/>
              </w:rPr>
              <w:t>100.0%</w:t>
            </w:r>
          </w:p>
        </w:tc>
        <w:tc>
          <w:tcPr>
            <w:tcW w:type="dxa" w:w="1417"/>
          </w:tcPr>
          <w:p>
            <w:r>
              <w:rPr>
                <w:sz w:val="18"/>
              </w:rPr>
              <w:t>13 wk</w:t>
            </w:r>
          </w:p>
        </w:tc>
      </w:tr>
      <w:tr>
        <w:tc>
          <w:tcPr>
            <w:tcW w:type="dxa" w:w="1417"/>
          </w:tcPr>
          <w:p>
            <w:r>
              <w:rPr>
                <w:sz w:val="18"/>
              </w:rPr>
              <w:t>Fabric</w:t>
            </w:r>
          </w:p>
        </w:tc>
        <w:tc>
          <w:tcPr>
            <w:tcW w:type="dxa" w:w="1304"/>
          </w:tcPr>
          <w:p>
            <w:r>
              <w:rPr>
                <w:sz w:val="18"/>
              </w:rPr>
              <w:t>3.14×</w:t>
            </w:r>
          </w:p>
        </w:tc>
        <w:tc>
          <w:tcPr>
            <w:tcW w:type="dxa" w:w="1417"/>
          </w:tcPr>
          <w:p>
            <w:r>
              <w:rPr>
                <w:sz w:val="18"/>
              </w:rPr>
              <w:t>100.0%</w:t>
            </w:r>
          </w:p>
        </w:tc>
        <w:tc>
          <w:tcPr>
            <w:tcW w:type="dxa" w:w="1304"/>
          </w:tcPr>
          <w:p>
            <w:r>
              <w:rPr>
                <w:sz w:val="18"/>
              </w:rPr>
              <w:t>100.0%</w:t>
            </w:r>
          </w:p>
        </w:tc>
        <w:tc>
          <w:tcPr>
            <w:tcW w:type="dxa" w:w="1417"/>
          </w:tcPr>
          <w:p>
            <w:r>
              <w:rPr>
                <w:sz w:val="18"/>
              </w:rPr>
              <w:t>18 wk</w:t>
            </w:r>
          </w:p>
        </w:tc>
      </w:tr>
      <w:tr>
        <w:tc>
          <w:tcPr>
            <w:tcW w:type="dxa" w:w="1417"/>
          </w:tcPr>
          <w:p>
            <w:r>
              <w:rPr>
                <w:sz w:val="18"/>
              </w:rPr>
              <w:t>Garment</w:t>
            </w:r>
          </w:p>
        </w:tc>
        <w:tc>
          <w:tcPr>
            <w:tcW w:type="dxa" w:w="1304"/>
          </w:tcPr>
          <w:p>
            <w:r>
              <w:rPr>
                <w:sz w:val="18"/>
              </w:rPr>
              <w:t>1.68×</w:t>
            </w:r>
          </w:p>
        </w:tc>
        <w:tc>
          <w:tcPr>
            <w:tcW w:type="dxa" w:w="1417"/>
          </w:tcPr>
          <w:p>
            <w:r>
              <w:rPr>
                <w:sz w:val="18"/>
              </w:rPr>
              <w:t>100.0%</w:t>
            </w:r>
          </w:p>
        </w:tc>
        <w:tc>
          <w:tcPr>
            <w:tcW w:type="dxa" w:w="1304"/>
          </w:tcPr>
          <w:p>
            <w:r>
              <w:rPr>
                <w:sz w:val="18"/>
              </w:rPr>
              <w:t>100.0%</w:t>
            </w:r>
          </w:p>
        </w:tc>
        <w:tc>
          <w:tcPr>
            <w:tcW w:type="dxa" w:w="1417"/>
          </w:tcPr>
          <w:p>
            <w:r>
              <w:rPr>
                <w:sz w:val="18"/>
              </w:rPr>
              <w:t>12 wk</w:t>
            </w:r>
          </w:p>
        </w:tc>
      </w:tr>
      <w:tr>
        <w:tc>
          <w:tcPr>
            <w:tcW w:type="dxa" w:w="1417"/>
          </w:tcPr>
          <w:p>
            <w:r>
              <w:rPr>
                <w:sz w:val="18"/>
              </w:rPr>
              <w:t>Wholesale</w:t>
            </w:r>
          </w:p>
        </w:tc>
        <w:tc>
          <w:tcPr>
            <w:tcW w:type="dxa" w:w="1304"/>
          </w:tcPr>
          <w:p>
            <w:r>
              <w:rPr>
                <w:sz w:val="18"/>
              </w:rPr>
              <w:t>1.18×</w:t>
            </w:r>
          </w:p>
        </w:tc>
        <w:tc>
          <w:tcPr>
            <w:tcW w:type="dxa" w:w="1417"/>
          </w:tcPr>
          <w:p>
            <w:r>
              <w:rPr>
                <w:sz w:val="18"/>
              </w:rPr>
              <w:t>100.0%</w:t>
            </w:r>
          </w:p>
        </w:tc>
        <w:tc>
          <w:tcPr>
            <w:tcW w:type="dxa" w:w="1304"/>
          </w:tcPr>
          <w:p>
            <w:r>
              <w:rPr>
                <w:sz w:val="18"/>
              </w:rPr>
              <w:t>100.0%</w:t>
            </w:r>
          </w:p>
        </w:tc>
        <w:tc>
          <w:tcPr>
            <w:tcW w:type="dxa" w:w="1417"/>
          </w:tcPr>
          <w:p>
            <w:r>
              <w:rPr>
                <w:sz w:val="18"/>
              </w:rPr>
              <w:t>5 wk</w:t>
            </w:r>
          </w:p>
        </w:tc>
      </w:tr>
      <w:tr>
        <w:tc>
          <w:tcPr>
            <w:tcW w:type="dxa" w:w="1417"/>
          </w:tcPr>
          <w:p>
            <w:r>
              <w:rPr>
                <w:sz w:val="18"/>
              </w:rPr>
              <w:t>Retail</w:t>
            </w:r>
          </w:p>
        </w:tc>
        <w:tc>
          <w:tcPr>
            <w:tcW w:type="dxa" w:w="1304"/>
          </w:tcPr>
          <w:p>
            <w:r>
              <w:rPr>
                <w:sz w:val="18"/>
              </w:rPr>
              <w:t>1.00×</w:t>
            </w:r>
          </w:p>
        </w:tc>
        <w:tc>
          <w:tcPr>
            <w:tcW w:type="dxa" w:w="1417"/>
          </w:tcPr>
          <w:p>
            <w:r>
              <w:rPr>
                <w:sz w:val="18"/>
              </w:rPr>
              <w:t>100.0%</w:t>
            </w:r>
          </w:p>
        </w:tc>
        <w:tc>
          <w:tcPr>
            <w:tcW w:type="dxa" w:w="1304"/>
          </w:tcPr>
          <w:p>
            <w:r>
              <w:rPr>
                <w:sz w:val="18"/>
              </w:rPr>
              <w:t>100.0%</w:t>
            </w:r>
          </w:p>
        </w:tc>
        <w:tc>
          <w:tcPr>
            <w:tcW w:type="dxa" w:w="1417"/>
          </w:tcPr>
          <w:p>
            <w:r>
              <w:rPr>
                <w:sz w:val="18"/>
              </w:rPr>
              <w:t>0 wk</w:t>
            </w:r>
          </w:p>
        </w:tc>
      </w:tr>
    </w:tbl>
    <w:p>
      <w:r>
        <w:rPr>
          <w:i/>
          <w:color w:val="646464"/>
          <w:sz w:val="17"/>
        </w:rPr>
        <w:t>Source: Bullwhip Ratio = Var(sector orders) / Var(retail orders). Service Level = fraction of periods with zero shortage. Fill Rate = 1 − total_shortage / total_orders. Recovery Time = weeks from shock onset until capacity ≥ 95% baseline. 'No recovery' = sector does not recover within 52-week window. ABM: Beer Distribution Game, Sterman (1989) θ=4 anchored order rule, 3 agents per sector, exponential smoothing α=0.3.</w:t>
      </w:r>
    </w:p>
    <w:p>
      <w:pPr>
        <w:jc w:val="both"/>
      </w:pPr>
      <w:r>
        <w:rPr>
          <w:b/>
          <w:i w:val="0"/>
          <w:sz w:val="21"/>
        </w:rPr>
        <w:t>Summary for S5: IO supply shortage loss £2.429bn; CGE welfare loss £6.342bn; maximum CGE price rise 19.9% at PTA.</w:t>
      </w:r>
    </w:p>
    <w:p/>
    <w:p>
      <w:r>
        <w:br w:type="page"/>
      </w:r>
    </w:p>
    <w:p>
      <w:pPr>
        <w:pStyle w:val="Heading1"/>
      </w:pPr>
      <w:r>
        <w:t>3. ABM Technical Specification</w:t>
      </w:r>
    </w:p>
    <w:p>
      <w:pPr>
        <w:jc w:val="both"/>
      </w:pPr>
      <w:r>
        <w:rPr>
          <w:b w:val="0"/>
          <w:i w:val="0"/>
          <w:sz w:val="22"/>
        </w:rPr>
        <w:t>The Agent-Based Model (ABM) implements the Beer Distribution Game (Sterman, 1989) extended to the 8-stage polyester supply chain with geographic multi-sourcing, adaptive inventory policies, transit-time lags, capacity constraints, and bidirectional coupling to the IO and CGE models. This section provides the complete technical specification.</w:t>
      </w:r>
    </w:p>
    <w:p>
      <w:pPr>
        <w:pStyle w:val="Heading2"/>
      </w:pPr>
      <w:r>
        <w:t>3.1 Network Architecture</w:t>
      </w:r>
    </w:p>
    <w:p>
      <w:pPr>
        <w:jc w:val="both"/>
      </w:pPr>
      <w:r>
        <w:rPr>
          <w:b w:val="0"/>
          <w:i w:val="0"/>
          <w:sz w:val="22"/>
        </w:rPr>
        <w:t>The ABM represents the supply chain as a directed graph of 24 agents arranged in 8 stages (sectors). Each stage has 3 agents corresponding to the top 3 geographic suppliers by market share. Agent capacities are normalised within each sector so the sum equals 1.0 at baseline.</w:t>
      </w:r>
    </w:p>
    <w:tbl>
      <w:tblPr>
        <w:tblStyle w:val="LightShading-Accent1"/>
        <w:tblW w:type="auto" w:w="0"/>
        <w:tblLook w:firstColumn="1" w:firstRow="1" w:lastColumn="0" w:lastRow="0" w:noHBand="0" w:noVBand="1" w:val="04A0"/>
      </w:tblPr>
      <w:tblGrid>
        <w:gridCol w:w="2266"/>
        <w:gridCol w:w="2266"/>
        <w:gridCol w:w="2266"/>
        <w:gridCol w:w="2266"/>
      </w:tblGrid>
      <w:tr>
        <w:tc>
          <w:tcPr>
            <w:tcW w:type="dxa" w:w="1134"/>
          </w:tcPr>
          <w:p>
            <w:r>
              <w:rPr>
                <w:b/>
                <w:sz w:val="18"/>
              </w:rPr>
              <w:t>Sector</w:t>
            </w:r>
          </w:p>
        </w:tc>
        <w:tc>
          <w:tcPr>
            <w:tcW w:type="dxa" w:w="3685"/>
          </w:tcPr>
          <w:p>
            <w:r>
              <w:rPr>
                <w:b/>
                <w:sz w:val="18"/>
              </w:rPr>
              <w:t>Agents (country: norm. cap.)</w:t>
            </w:r>
          </w:p>
        </w:tc>
        <w:tc>
          <w:tcPr>
            <w:tcW w:type="dxa" w:w="1417"/>
          </w:tcPr>
          <w:p>
            <w:r>
              <w:rPr>
                <w:b/>
                <w:sz w:val="18"/>
              </w:rPr>
              <w:t>Lead Times (wk)</w:t>
            </w:r>
          </w:p>
        </w:tc>
        <w:tc>
          <w:tcPr>
            <w:tcW w:type="dxa" w:w="1134"/>
          </w:tcPr>
          <w:p>
            <w:r>
              <w:rPr>
                <w:b/>
                <w:sz w:val="18"/>
              </w:rPr>
              <w:t>Safety Stock (wk)</w:t>
            </w:r>
          </w:p>
        </w:tc>
      </w:tr>
      <w:tr>
        <w:tc>
          <w:tcPr>
            <w:tcW w:type="dxa" w:w="1134"/>
          </w:tcPr>
          <w:p>
            <w:r>
              <w:rPr>
                <w:sz w:val="18"/>
              </w:rPr>
              <w:t>Oil</w:t>
            </w:r>
          </w:p>
        </w:tc>
        <w:tc>
          <w:tcPr>
            <w:tcW w:type="dxa" w:w="3685"/>
          </w:tcPr>
          <w:p>
            <w:r>
              <w:rPr>
                <w:sz w:val="18"/>
              </w:rPr>
              <w:t>Other (0.620), USA (0.220), Russia (0.160)</w:t>
            </w:r>
          </w:p>
        </w:tc>
        <w:tc>
          <w:tcPr>
            <w:tcW w:type="dxa" w:w="1417"/>
          </w:tcPr>
          <w:p>
            <w:r>
              <w:rPr>
                <w:sz w:val="18"/>
              </w:rPr>
              <w:t>2, 2, 2</w:t>
            </w:r>
          </w:p>
        </w:tc>
        <w:tc>
          <w:tcPr>
            <w:tcW w:type="dxa" w:w="1134"/>
          </w:tcPr>
          <w:p>
            <w:r>
              <w:rPr>
                <w:sz w:val="18"/>
              </w:rPr>
              <w:t>4.0</w:t>
            </w:r>
          </w:p>
        </w:tc>
      </w:tr>
      <w:tr>
        <w:tc>
          <w:tcPr>
            <w:tcW w:type="dxa" w:w="1134"/>
          </w:tcPr>
          <w:p>
            <w:r>
              <w:rPr>
                <w:sz w:val="18"/>
              </w:rPr>
              <w:t>Chemical</w:t>
            </w:r>
          </w:p>
        </w:tc>
        <w:tc>
          <w:tcPr>
            <w:tcW w:type="dxa" w:w="3685"/>
          </w:tcPr>
          <w:p>
            <w:r>
              <w:rPr>
                <w:sz w:val="18"/>
              </w:rPr>
              <w:t>China (0.522), Saudi_Arabia (0.269), South_Korea (0.209)</w:t>
            </w:r>
          </w:p>
        </w:tc>
        <w:tc>
          <w:tcPr>
            <w:tcW w:type="dxa" w:w="1417"/>
          </w:tcPr>
          <w:p>
            <w:r>
              <w:rPr>
                <w:sz w:val="18"/>
              </w:rPr>
              <w:t>3, 3, 3</w:t>
            </w:r>
          </w:p>
        </w:tc>
        <w:tc>
          <w:tcPr>
            <w:tcW w:type="dxa" w:w="1134"/>
          </w:tcPr>
          <w:p>
            <w:r>
              <w:rPr>
                <w:sz w:val="18"/>
              </w:rPr>
              <w:t>3.0</w:t>
            </w:r>
          </w:p>
        </w:tc>
      </w:tr>
      <w:tr>
        <w:tc>
          <w:tcPr>
            <w:tcW w:type="dxa" w:w="1134"/>
          </w:tcPr>
          <w:p>
            <w:r>
              <w:rPr>
                <w:sz w:val="18"/>
              </w:rPr>
              <w:t>PTA</w:t>
            </w:r>
          </w:p>
        </w:tc>
        <w:tc>
          <w:tcPr>
            <w:tcW w:type="dxa" w:w="3685"/>
          </w:tcPr>
          <w:p>
            <w:r>
              <w:rPr>
                <w:sz w:val="18"/>
              </w:rPr>
              <w:t>China (0.753), Other (0.169), India (0.079)</w:t>
            </w:r>
          </w:p>
        </w:tc>
        <w:tc>
          <w:tcPr>
            <w:tcW w:type="dxa" w:w="1417"/>
          </w:tcPr>
          <w:p>
            <w:r>
              <w:rPr>
                <w:sz w:val="18"/>
              </w:rPr>
              <w:t>2, 2, 2</w:t>
            </w:r>
          </w:p>
        </w:tc>
        <w:tc>
          <w:tcPr>
            <w:tcW w:type="dxa" w:w="1134"/>
          </w:tcPr>
          <w:p>
            <w:r>
              <w:rPr>
                <w:sz w:val="18"/>
              </w:rPr>
              <w:t>2.5</w:t>
            </w:r>
          </w:p>
        </w:tc>
      </w:tr>
      <w:tr>
        <w:tc>
          <w:tcPr>
            <w:tcW w:type="dxa" w:w="1134"/>
          </w:tcPr>
          <w:p>
            <w:r>
              <w:rPr>
                <w:sz w:val="18"/>
              </w:rPr>
              <w:t>PET</w:t>
            </w:r>
          </w:p>
        </w:tc>
        <w:tc>
          <w:tcPr>
            <w:tcW w:type="dxa" w:w="3685"/>
          </w:tcPr>
          <w:p>
            <w:r>
              <w:rPr>
                <w:sz w:val="18"/>
              </w:rPr>
              <w:t>China (0.667), Other (0.189), India (0.144)</w:t>
            </w:r>
          </w:p>
        </w:tc>
        <w:tc>
          <w:tcPr>
            <w:tcW w:type="dxa" w:w="1417"/>
          </w:tcPr>
          <w:p>
            <w:r>
              <w:rPr>
                <w:sz w:val="18"/>
              </w:rPr>
              <w:t>2, 2, 2</w:t>
            </w:r>
          </w:p>
        </w:tc>
        <w:tc>
          <w:tcPr>
            <w:tcW w:type="dxa" w:w="1134"/>
          </w:tcPr>
          <w:p>
            <w:r>
              <w:rPr>
                <w:sz w:val="18"/>
              </w:rPr>
              <w:t>3.0</w:t>
            </w:r>
          </w:p>
        </w:tc>
      </w:tr>
      <w:tr>
        <w:tc>
          <w:tcPr>
            <w:tcW w:type="dxa" w:w="1134"/>
          </w:tcPr>
          <w:p>
            <w:r>
              <w:rPr>
                <w:sz w:val="18"/>
              </w:rPr>
              <w:t>Fabric</w:t>
            </w:r>
          </w:p>
        </w:tc>
        <w:tc>
          <w:tcPr>
            <w:tcW w:type="dxa" w:w="3685"/>
          </w:tcPr>
          <w:p>
            <w:r>
              <w:rPr>
                <w:sz w:val="18"/>
              </w:rPr>
              <w:t>China (0.481), Other (0.397), India (0.122)</w:t>
            </w:r>
          </w:p>
        </w:tc>
        <w:tc>
          <w:tcPr>
            <w:tcW w:type="dxa" w:w="1417"/>
          </w:tcPr>
          <w:p>
            <w:r>
              <w:rPr>
                <w:sz w:val="18"/>
              </w:rPr>
              <w:t>2, 2, 2</w:t>
            </w:r>
          </w:p>
        </w:tc>
        <w:tc>
          <w:tcPr>
            <w:tcW w:type="dxa" w:w="1134"/>
          </w:tcPr>
          <w:p>
            <w:r>
              <w:rPr>
                <w:sz w:val="18"/>
              </w:rPr>
              <w:t>4.0</w:t>
            </w:r>
          </w:p>
        </w:tc>
      </w:tr>
      <w:tr>
        <w:tc>
          <w:tcPr>
            <w:tcW w:type="dxa" w:w="1134"/>
          </w:tcPr>
          <w:p>
            <w:r>
              <w:rPr>
                <w:sz w:val="18"/>
              </w:rPr>
              <w:t>Garment</w:t>
            </w:r>
          </w:p>
        </w:tc>
        <w:tc>
          <w:tcPr>
            <w:tcW w:type="dxa" w:w="3685"/>
          </w:tcPr>
          <w:p>
            <w:r>
              <w:rPr>
                <w:sz w:val="18"/>
              </w:rPr>
              <w:t>Other (0.441), China (0.388), Bangladesh (0.171)</w:t>
            </w:r>
          </w:p>
        </w:tc>
        <w:tc>
          <w:tcPr>
            <w:tcW w:type="dxa" w:w="1417"/>
          </w:tcPr>
          <w:p>
            <w:r>
              <w:rPr>
                <w:sz w:val="18"/>
              </w:rPr>
              <w:t>5, 5, 4</w:t>
            </w:r>
          </w:p>
        </w:tc>
        <w:tc>
          <w:tcPr>
            <w:tcW w:type="dxa" w:w="1134"/>
          </w:tcPr>
          <w:p>
            <w:r>
              <w:rPr>
                <w:sz w:val="18"/>
              </w:rPr>
              <w:t>6.0</w:t>
            </w:r>
          </w:p>
        </w:tc>
      </w:tr>
      <w:tr>
        <w:tc>
          <w:tcPr>
            <w:tcW w:type="dxa" w:w="1134"/>
          </w:tcPr>
          <w:p>
            <w:r>
              <w:rPr>
                <w:sz w:val="18"/>
              </w:rPr>
              <w:t>Wholesale</w:t>
            </w:r>
          </w:p>
        </w:tc>
        <w:tc>
          <w:tcPr>
            <w:tcW w:type="dxa" w:w="3685"/>
          </w:tcPr>
          <w:p>
            <w:r>
              <w:rPr>
                <w:sz w:val="18"/>
              </w:rPr>
              <w:t>UK (0.850), Other (0.150)</w:t>
            </w:r>
          </w:p>
        </w:tc>
        <w:tc>
          <w:tcPr>
            <w:tcW w:type="dxa" w:w="1417"/>
          </w:tcPr>
          <w:p>
            <w:r>
              <w:rPr>
                <w:sz w:val="18"/>
              </w:rPr>
              <w:t>2, 2</w:t>
            </w:r>
          </w:p>
        </w:tc>
        <w:tc>
          <w:tcPr>
            <w:tcW w:type="dxa" w:w="1134"/>
          </w:tcPr>
          <w:p>
            <w:r>
              <w:rPr>
                <w:sz w:val="18"/>
              </w:rPr>
              <w:t>8.0</w:t>
            </w:r>
          </w:p>
        </w:tc>
      </w:tr>
      <w:tr>
        <w:tc>
          <w:tcPr>
            <w:tcW w:type="dxa" w:w="1134"/>
          </w:tcPr>
          <w:p>
            <w:r>
              <w:rPr>
                <w:sz w:val="18"/>
              </w:rPr>
              <w:t>Retail</w:t>
            </w:r>
          </w:p>
        </w:tc>
        <w:tc>
          <w:tcPr>
            <w:tcW w:type="dxa" w:w="3685"/>
          </w:tcPr>
          <w:p>
            <w:r>
              <w:rPr>
                <w:sz w:val="18"/>
              </w:rPr>
              <w:t>UK (1.000)</w:t>
            </w:r>
          </w:p>
        </w:tc>
        <w:tc>
          <w:tcPr>
            <w:tcW w:type="dxa" w:w="1417"/>
          </w:tcPr>
          <w:p>
            <w:r>
              <w:rPr>
                <w:sz w:val="18"/>
              </w:rPr>
              <w:t>2</w:t>
            </w:r>
          </w:p>
        </w:tc>
        <w:tc>
          <w:tcPr>
            <w:tcW w:type="dxa" w:w="1134"/>
          </w:tcPr>
          <w:p>
            <w:r>
              <w:rPr>
                <w:sz w:val="18"/>
              </w:rPr>
              <w:t>10.0</w:t>
            </w:r>
          </w:p>
        </w:tc>
      </w:tr>
    </w:tbl>
    <w:p>
      <w:r>
        <w:rPr>
          <w:i/>
          <w:color w:val="646464"/>
          <w:sz w:val="17"/>
        </w:rPr>
        <w:t>Source: Geographic shares from STAGE_GEOGRAPHY in real_data.py, calibrated to: PTA: GlobalData 2021 capacity survey. PET: CIRFS/Textile Exchange 2023. Fabric: WTO International Trade Statistics 2024. Garment: HMRC OTS API 2023 import shares (direct real data). Lead times from TRANSIT_DAYS (Logistics_Price_Info.pptx).</w:t>
      </w:r>
    </w:p>
    <w:p>
      <w:pPr>
        <w:pStyle w:val="Heading2"/>
      </w:pPr>
      <w:r>
        <w:t>3.2 Ordering Policy: Sterman (1989) Anchored-Order Rule</w:t>
      </w:r>
    </w:p>
    <w:p>
      <w:pPr>
        <w:jc w:val="both"/>
      </w:pPr>
      <w:r>
        <w:rPr>
          <w:b w:val="0"/>
          <w:i w:val="0"/>
          <w:sz w:val="22"/>
        </w:rPr>
        <w:t>Each agent uses two order policies depending on context:</w:t>
      </w:r>
    </w:p>
    <w:p>
      <w:pPr>
        <w:jc w:val="both"/>
      </w:pPr>
      <w:r>
        <w:rPr>
          <w:b/>
          <w:i w:val="0"/>
          <w:sz w:val="21"/>
        </w:rPr>
        <w:t>Policy 1 — Sterman anchored-order rule (standalone run, θ=4):</w:t>
      </w:r>
    </w:p>
    <w:p>
      <w:pPr>
        <w:jc w:val="center"/>
      </w:pPr>
      <w:r>
        <w:rPr>
          <w:b/>
          <w:sz w:val="24"/>
        </w:rPr>
        <w:t>Order(t) = max(0,  F̂(t) + (SS*(t) − IL(t)) / θ)</w:t>
      </w:r>
    </w:p>
    <w:p>
      <w:pPr>
        <w:jc w:val="both"/>
      </w:pPr>
      <w:r>
        <w:rPr>
          <w:b/>
          <w:i w:val="0"/>
          <w:sz w:val="21"/>
        </w:rPr>
        <w:t>Policy 2 — Order-up-to policy (coupled run, step_period):</w:t>
      </w:r>
    </w:p>
    <w:p>
      <w:pPr>
        <w:jc w:val="center"/>
      </w:pPr>
      <w:r>
        <w:rPr>
          <w:b/>
          <w:sz w:val="24"/>
        </w:rPr>
        <w:t>Order(t) = max(0,  F̂(t) + SS*(t) − IL(t) − IP(t))</w:t>
      </w:r>
    </w:p>
    <w:tbl>
      <w:tblPr>
        <w:tblStyle w:val="LightShading-Accent1"/>
        <w:tblW w:type="auto" w:w="0"/>
        <w:tblLook w:firstColumn="1" w:firstRow="1" w:lastColumn="0" w:lastRow="0" w:noHBand="0" w:noVBand="1" w:val="04A0"/>
      </w:tblPr>
      <w:tblGrid>
        <w:gridCol w:w="1813"/>
        <w:gridCol w:w="1813"/>
        <w:gridCol w:w="1813"/>
        <w:gridCol w:w="1813"/>
        <w:gridCol w:w="1813"/>
      </w:tblGrid>
      <w:tr>
        <w:tc>
          <w:tcPr>
            <w:tcW w:type="dxa" w:w="567"/>
          </w:tcPr>
          <w:p>
            <w:r>
              <w:rPr>
                <w:b/>
                <w:sz w:val="18"/>
              </w:rPr>
              <w:t>Symbol</w:t>
            </w:r>
          </w:p>
        </w:tc>
        <w:tc>
          <w:tcPr>
            <w:tcW w:type="dxa" w:w="1134"/>
          </w:tcPr>
          <w:p>
            <w:r>
              <w:rPr>
                <w:b/>
                <w:sz w:val="18"/>
              </w:rPr>
              <w:t>Description</w:t>
            </w:r>
          </w:p>
        </w:tc>
        <w:tc>
          <w:tcPr>
            <w:tcW w:type="dxa" w:w="1984"/>
          </w:tcPr>
          <w:p>
            <w:r>
              <w:rPr>
                <w:b/>
                <w:sz w:val="18"/>
              </w:rPr>
              <w:t>Formula/Rule</w:t>
            </w:r>
          </w:p>
        </w:tc>
        <w:tc>
          <w:tcPr>
            <w:tcW w:type="dxa" w:w="1020"/>
          </w:tcPr>
          <w:p>
            <w:r>
              <w:rPr>
                <w:b/>
                <w:sz w:val="18"/>
              </w:rPr>
              <w:t>Value</w:t>
            </w:r>
          </w:p>
        </w:tc>
        <w:tc>
          <w:tcPr>
            <w:tcW w:type="dxa" w:w="2551"/>
          </w:tcPr>
          <w:p>
            <w:r>
              <w:rPr>
                <w:b/>
                <w:sz w:val="18"/>
              </w:rPr>
              <w:t>Source/Rationale</w:t>
            </w:r>
          </w:p>
        </w:tc>
      </w:tr>
      <w:tr>
        <w:tc>
          <w:tcPr>
            <w:tcW w:type="dxa" w:w="567"/>
          </w:tcPr>
          <w:p>
            <w:r>
              <w:rPr>
                <w:sz w:val="18"/>
              </w:rPr>
              <w:t>F̂(t)</w:t>
            </w:r>
          </w:p>
        </w:tc>
        <w:tc>
          <w:tcPr>
            <w:tcW w:type="dxa" w:w="1134"/>
          </w:tcPr>
          <w:p>
            <w:r>
              <w:rPr>
                <w:sz w:val="18"/>
              </w:rPr>
              <w:t>Demand forecast</w:t>
            </w:r>
          </w:p>
        </w:tc>
        <w:tc>
          <w:tcPr>
            <w:tcW w:type="dxa" w:w="1984"/>
          </w:tcPr>
          <w:p>
            <w:r>
              <w:rPr>
                <w:sz w:val="18"/>
              </w:rPr>
              <w:t>Exponential smoothing: F̂(t) = α·D(t-1) + (1-α)·F̂(t-1)</w:t>
            </w:r>
          </w:p>
        </w:tc>
        <w:tc>
          <w:tcPr>
            <w:tcW w:type="dxa" w:w="1020"/>
          </w:tcPr>
          <w:p>
            <w:r>
              <w:rPr>
                <w:sz w:val="18"/>
              </w:rPr>
              <w:t>α = 0.3</w:t>
            </w:r>
          </w:p>
        </w:tc>
        <w:tc>
          <w:tcPr>
            <w:tcW w:type="dxa" w:w="2551"/>
          </w:tcPr>
          <w:p>
            <w:r>
              <w:rPr>
                <w:sz w:val="18"/>
              </w:rPr>
              <w:t>Standard EWM forecast; α=0.3 matches typical supply chain literature (Sterman 2000)</w:t>
            </w:r>
          </w:p>
        </w:tc>
      </w:tr>
      <w:tr>
        <w:tc>
          <w:tcPr>
            <w:tcW w:type="dxa" w:w="567"/>
          </w:tcPr>
          <w:p>
            <w:r>
              <w:rPr>
                <w:sz w:val="18"/>
              </w:rPr>
              <w:t>SS*(t)</w:t>
            </w:r>
          </w:p>
        </w:tc>
        <w:tc>
          <w:tcPr>
            <w:tcW w:type="dxa" w:w="1134"/>
          </w:tcPr>
          <w:p>
            <w:r>
              <w:rPr>
                <w:sz w:val="18"/>
              </w:rPr>
              <w:t>Safety stock target</w:t>
            </w:r>
          </w:p>
        </w:tc>
        <w:tc>
          <w:tcPr>
            <w:tcW w:type="dxa" w:w="1984"/>
          </w:tcPr>
          <w:p>
            <w:r>
              <w:rPr>
                <w:sz w:val="18"/>
              </w:rPr>
              <w:t>Adaptive: grows by 2%/period when P &gt; 1.1, shrinks by 1%/period when P &lt; 1. Capped at 4 × base_capacity (prevents panic-buying spiral)</w:t>
            </w:r>
          </w:p>
        </w:tc>
        <w:tc>
          <w:tcPr>
            <w:tcW w:type="dxa" w:w="1020"/>
          </w:tcPr>
          <w:p>
            <w:r>
              <w:rPr>
                <w:sz w:val="18"/>
              </w:rPr>
              <w:t>Initialised = base_capacity × SAFETY_STOCK_WEEKS</w:t>
            </w:r>
          </w:p>
        </w:tc>
        <w:tc>
          <w:tcPr>
            <w:tcW w:type="dxa" w:w="2551"/>
          </w:tcPr>
          <w:p>
            <w:r>
              <w:rPr>
                <w:sz w:val="18"/>
              </w:rPr>
              <w:t>SAFETY_STOCK_WEEKS from real data: Oil 4wk, Chemical 3wk, PTA 2.5wk, PET 3wk, Fabric 4wk, Garment 6wk, Wholesale 8wk, Retail 10wk. MEG: calibrated from 688kt port inventory ÷ estimated 230kt/wk consumption ≈ 3wk.</w:t>
            </w:r>
          </w:p>
        </w:tc>
      </w:tr>
      <w:tr>
        <w:tc>
          <w:tcPr>
            <w:tcW w:type="dxa" w:w="567"/>
          </w:tcPr>
          <w:p>
            <w:r>
              <w:rPr>
                <w:sz w:val="18"/>
              </w:rPr>
              <w:t>IL(t)</w:t>
            </w:r>
          </w:p>
        </w:tc>
        <w:tc>
          <w:tcPr>
            <w:tcW w:type="dxa" w:w="1134"/>
          </w:tcPr>
          <w:p>
            <w:r>
              <w:rPr>
                <w:sz w:val="18"/>
              </w:rPr>
              <w:t>Inventory level</w:t>
            </w:r>
          </w:p>
        </w:tc>
        <w:tc>
          <w:tcPr>
            <w:tcW w:type="dxa" w:w="1984"/>
          </w:tcPr>
          <w:p>
            <w:r>
              <w:rPr>
                <w:sz w:val="18"/>
              </w:rPr>
              <w:t>Finished goods on hand at start of period t</w:t>
            </w:r>
          </w:p>
        </w:tc>
        <w:tc>
          <w:tcPr>
            <w:tcW w:type="dxa" w:w="1020"/>
          </w:tcPr>
          <w:p>
            <w:r>
              <w:rPr>
                <w:sz w:val="18"/>
              </w:rPr>
              <w:t>Initialised = SS*</w:t>
            </w:r>
          </w:p>
        </w:tc>
        <w:tc>
          <w:tcPr>
            <w:tcW w:type="dxa" w:w="2551"/>
          </w:tcPr>
          <w:p>
            <w:r>
              <w:rPr>
                <w:sz w:val="18"/>
              </w:rPr>
              <w:t>Lost-sales model in standalone run (backlog=0 each period). Backlog persists in coupled step_period().</w:t>
            </w:r>
          </w:p>
        </w:tc>
      </w:tr>
      <w:tr>
        <w:tc>
          <w:tcPr>
            <w:tcW w:type="dxa" w:w="567"/>
          </w:tcPr>
          <w:p>
            <w:r>
              <w:rPr>
                <w:sz w:val="18"/>
              </w:rPr>
              <w:t>IP(t)</w:t>
            </w:r>
          </w:p>
        </w:tc>
        <w:tc>
          <w:tcPr>
            <w:tcW w:type="dxa" w:w="1134"/>
          </w:tcPr>
          <w:p>
            <w:r>
              <w:rPr>
                <w:sz w:val="18"/>
              </w:rPr>
              <w:t>In-pipeline orders</w:t>
            </w:r>
          </w:p>
        </w:tc>
        <w:tc>
          <w:tcPr>
            <w:tcW w:type="dxa" w:w="1984"/>
          </w:tcPr>
          <w:p>
            <w:r>
              <w:rPr>
                <w:sz w:val="18"/>
              </w:rPr>
              <w:t>Sum of all open orders placed but not yet received (= sum of pipeline list)</w:t>
            </w:r>
          </w:p>
        </w:tc>
        <w:tc>
          <w:tcPr>
            <w:tcW w:type="dxa" w:w="1020"/>
          </w:tcPr>
          <w:p>
            <w:r>
              <w:rPr>
                <w:sz w:val="18"/>
              </w:rPr>
              <w:t>Initialised = [0] × lead_time</w:t>
            </w:r>
          </w:p>
        </w:tc>
        <w:tc>
          <w:tcPr>
            <w:tcW w:type="dxa" w:w="2551"/>
          </w:tcPr>
          <w:p>
            <w:r>
              <w:rPr>
                <w:sz w:val="18"/>
              </w:rPr>
              <w:t>Pipeline is a FIFO queue. In standalone run: conceptual tracking only (physical goods from production, not pipeline delivery). In coupled run: fill = IO_supply_ratio × 0.9 applied to pipeline delivery.</w:t>
            </w:r>
          </w:p>
        </w:tc>
      </w:tr>
      <w:tr>
        <w:tc>
          <w:tcPr>
            <w:tcW w:type="dxa" w:w="567"/>
          </w:tcPr>
          <w:p>
            <w:r>
              <w:rPr>
                <w:sz w:val="18"/>
              </w:rPr>
              <w:t>θ</w:t>
            </w:r>
          </w:p>
        </w:tc>
        <w:tc>
          <w:tcPr>
            <w:tcW w:type="dxa" w:w="1134"/>
          </w:tcPr>
          <w:p>
            <w:r>
              <w:rPr>
                <w:sz w:val="18"/>
              </w:rPr>
              <w:t>Anchoring parameter</w:t>
            </w:r>
          </w:p>
        </w:tc>
        <w:tc>
          <w:tcPr>
            <w:tcW w:type="dxa" w:w="1984"/>
          </w:tcPr>
          <w:p>
            <w:r>
              <w:rPr>
                <w:sz w:val="18"/>
              </w:rPr>
              <w:t>Controls rate of inventory correction. Higher θ = slower correction = lower bullwhip</w:t>
            </w:r>
          </w:p>
        </w:tc>
        <w:tc>
          <w:tcPr>
            <w:tcW w:type="dxa" w:w="1020"/>
          </w:tcPr>
          <w:p>
            <w:r>
              <w:rPr>
                <w:sz w:val="18"/>
              </w:rPr>
              <w:t>θ = 4</w:t>
            </w:r>
          </w:p>
        </w:tc>
        <w:tc>
          <w:tcPr>
            <w:tcW w:type="dxa" w:w="2551"/>
          </w:tcPr>
          <w:p>
            <w:r>
              <w:rPr>
                <w:sz w:val="18"/>
              </w:rPr>
              <w:t>Sterman (1989) original: θ represents planning horizon. θ=4 chosen as it produces baseline bullwhip 1.0–2.9× consistent with empirical supply chain research (Lee et al. 1997; Cachon et al. 2007).</w:t>
            </w:r>
          </w:p>
        </w:tc>
      </w:tr>
      <w:tr>
        <w:tc>
          <w:tcPr>
            <w:tcW w:type="dxa" w:w="567"/>
          </w:tcPr>
          <w:p>
            <w:r>
              <w:rPr>
                <w:sz w:val="18"/>
              </w:rPr>
              <w:t>α</w:t>
            </w:r>
          </w:p>
        </w:tc>
        <w:tc>
          <w:tcPr>
            <w:tcW w:type="dxa" w:w="1134"/>
          </w:tcPr>
          <w:p>
            <w:r>
              <w:rPr>
                <w:sz w:val="18"/>
              </w:rPr>
              <w:t>Demand smoothing weight</w:t>
            </w:r>
          </w:p>
        </w:tc>
        <w:tc>
          <w:tcPr>
            <w:tcW w:type="dxa" w:w="1984"/>
          </w:tcPr>
          <w:p>
            <w:r>
              <w:rPr>
                <w:sz w:val="18"/>
              </w:rPr>
              <w:t>Fraction of latest observation incorporated into forecast each period</w:t>
            </w:r>
          </w:p>
        </w:tc>
        <w:tc>
          <w:tcPr>
            <w:tcW w:type="dxa" w:w="1020"/>
          </w:tcPr>
          <w:p>
            <w:r>
              <w:rPr>
                <w:sz w:val="18"/>
              </w:rPr>
              <w:t>α = 0.3</w:t>
            </w:r>
          </w:p>
        </w:tc>
        <w:tc>
          <w:tcPr>
            <w:tcW w:type="dxa" w:w="2551"/>
          </w:tcPr>
          <w:p>
            <w:r>
              <w:rPr>
                <w:sz w:val="18"/>
              </w:rPr>
              <w:t>α=0.3 corresponds to an effective lag of ~3 periods; consistent with procurement cycle lengths in the polyester textile chain (Sterman 2000).</w:t>
            </w:r>
          </w:p>
        </w:tc>
      </w:tr>
      <w:tr>
        <w:tc>
          <w:tcPr>
            <w:tcW w:type="dxa" w:w="567"/>
          </w:tcPr>
          <w:p>
            <w:r>
              <w:rPr>
                <w:sz w:val="18"/>
              </w:rPr>
              <w:t>D(t)</w:t>
            </w:r>
          </w:p>
        </w:tc>
        <w:tc>
          <w:tcPr>
            <w:tcW w:type="dxa" w:w="1134"/>
          </w:tcPr>
          <w:p>
            <w:r>
              <w:rPr>
                <w:sz w:val="18"/>
              </w:rPr>
              <w:t>Realised demand</w:t>
            </w:r>
          </w:p>
        </w:tc>
        <w:tc>
          <w:tcPr>
            <w:tcW w:type="dxa" w:w="1984"/>
          </w:tcPr>
          <w:p>
            <w:r>
              <w:rPr>
                <w:sz w:val="18"/>
              </w:rPr>
              <w:t>D(t) = baseline_demand × seasonal_factor(t) × (1 + ε), ε ~ N(0, σ_noise)</w:t>
            </w:r>
          </w:p>
        </w:tc>
        <w:tc>
          <w:tcPr>
            <w:tcW w:type="dxa" w:w="1020"/>
          </w:tcPr>
          <w:p>
            <w:r>
              <w:rPr>
                <w:sz w:val="18"/>
              </w:rPr>
              <w:t>σ_noise = 0.03 (3% demand noise)</w:t>
            </w:r>
          </w:p>
        </w:tc>
        <w:tc>
          <w:tcPr>
            <w:tcW w:type="dxa" w:w="2551"/>
          </w:tcPr>
          <w:p>
            <w:r>
              <w:rPr>
                <w:sz w:val="18"/>
              </w:rPr>
              <w:t>Seasonal factors from HMRC_MONTHLY_SEASONAL_FACTORS: HMRC OTS API 2002–2024 monthly averages normalised to annual mean = 1.0. 3% noise reflects typical weekly demand variation in retail clothing.</w:t>
            </w:r>
          </w:p>
        </w:tc>
      </w:tr>
    </w:tbl>
    <w:p>
      <w:r>
        <w:rPr>
          <w:i/>
          <w:color w:val="646464"/>
          <w:sz w:val="17"/>
        </w:rPr>
        <w:t>Source: Order policy follows Sterman (1989) 'anchored and adjusted' heuristic. θ=4 is calibrated to produce realistic baseline bullwhip (1.0–2.9×) without runaway cascade under disruption. Adaptive safety stock growth cap (4× base) prevents the panic-buying spiral documented in Sterman (1989) simulations with unconstrained SS.</w:t>
      </w:r>
    </w:p>
    <w:p>
      <w:pPr>
        <w:pStyle w:val="Heading2"/>
      </w:pPr>
      <w:r>
        <w:t>3.3 Production and Shipping Model</w:t>
      </w:r>
    </w:p>
    <w:p>
      <w:pPr>
        <w:jc w:val="both"/>
      </w:pPr>
      <w:r>
        <w:rPr>
          <w:b w:val="0"/>
          <w:i w:val="0"/>
          <w:sz w:val="22"/>
        </w:rPr>
        <w:t>Each agent's production and shipping operate as follows per period:</w:t>
      </w:r>
    </w:p>
    <w:p>
      <w:pPr>
        <w:pStyle w:val="ListNumber"/>
      </w:pPr>
      <w:r>
        <w:rPr>
          <w:b/>
          <w:sz w:val="21"/>
        </w:rPr>
        <w:t xml:space="preserve">Apply disruption: </w:t>
      </w:r>
      <w:r>
        <w:rPr>
          <w:sz w:val="21"/>
        </w:rPr>
        <w:t>If agent is disrupted (apply_disruption called), effective_capacity = base_capacity × (1 − severity). Disruption countdown decrements each period; agent self-heals when counter reaches 0.</w:t>
      </w:r>
    </w:p>
    <w:p>
      <w:pPr>
        <w:pStyle w:val="ListNumber"/>
      </w:pPr>
      <w:r>
        <w:rPr>
          <w:b/>
          <w:sz w:val="21"/>
        </w:rPr>
        <w:t xml:space="preserve">Produce: </w:t>
      </w:r>
      <w:r>
        <w:rPr>
          <w:sz w:val="21"/>
        </w:rPr>
        <w:t>produced = min(effective_capacity, inputs_available). In standalone run: inputs_available = 2 × base_capacity (unlimited upstream). In coupled step_period: inputs_available = min(inventory, demand + safety_stock_deficit).</w:t>
      </w:r>
    </w:p>
    <w:p>
      <w:pPr>
        <w:pStyle w:val="ListNumber"/>
      </w:pPr>
      <w:r>
        <w:rPr>
          <w:b/>
          <w:sz w:val="21"/>
        </w:rPr>
        <w:t xml:space="preserve">Update inventory: </w:t>
      </w:r>
      <w:r>
        <w:rPr>
          <w:sz w:val="21"/>
        </w:rPr>
        <w:t>inventory += produced</w:t>
      </w:r>
    </w:p>
    <w:p>
      <w:pPr>
        <w:pStyle w:val="ListNumber"/>
      </w:pPr>
      <w:r>
        <w:rPr>
          <w:b/>
          <w:sz w:val="21"/>
        </w:rPr>
        <w:t xml:space="preserve">Ship to downstream: </w:t>
      </w:r>
      <w:r>
        <w:rPr>
          <w:sz w:val="21"/>
        </w:rPr>
        <w:t>shipped = min(demand + backlog, inventory). shortage = max(0, demand + backlog − shipped). inventory −= shipped. Standalone: backlog reset to 0 (lost-sales). Coupled: backlog accumulates.</w:t>
      </w:r>
    </w:p>
    <w:p>
      <w:pPr>
        <w:pStyle w:val="ListNumber"/>
      </w:pPr>
      <w:r>
        <w:rPr>
          <w:b/>
          <w:sz w:val="21"/>
        </w:rPr>
        <w:t xml:space="preserve">Recover capacity: </w:t>
      </w:r>
      <w:r>
        <w:rPr>
          <w:sz w:val="21"/>
        </w:rPr>
        <w:t>If not disrupted: capacity += 0.05 × base_capacity per period (5%/week standalone recovery). In coupled run: recovery rate = 0.04 / (1 + 5 × B_diag[j]) × cap_rec_mult, where cap_rec_mult is the CGE price signal.</w:t>
      </w:r>
    </w:p>
    <w:p>
      <w:pPr>
        <w:pStyle w:val="ListNumber"/>
      </w:pPr>
      <w:r>
        <w:rPr>
          <w:b/>
          <w:sz w:val="21"/>
        </w:rPr>
        <w:t xml:space="preserve">Place order: </w:t>
      </w:r>
      <w:r>
        <w:rPr>
          <w:sz w:val="21"/>
        </w:rPr>
        <w:t>Compute order using policy (above). Append to pipeline queue. In coupled run: pipeline[0] × fill (IO fill-rate) is received as delivery.</w:t>
      </w:r>
    </w:p>
    <w:p>
      <w:pPr>
        <w:pStyle w:val="Heading2"/>
      </w:pPr>
      <w:r>
        <w:t>3.4 Coupling Channels to IO and CGE Models</w:t>
      </w:r>
    </w:p>
    <w:tbl>
      <w:tblPr>
        <w:tblStyle w:val="LightShading-Accent1"/>
        <w:tblW w:type="auto" w:w="0"/>
        <w:tblLook w:firstColumn="1" w:firstRow="1" w:lastColumn="0" w:lastRow="0" w:noHBand="0" w:noVBand="1" w:val="04A0"/>
      </w:tblPr>
      <w:tblGrid>
        <w:gridCol w:w="3022"/>
        <w:gridCol w:w="3022"/>
        <w:gridCol w:w="3022"/>
      </w:tblGrid>
      <w:tr>
        <w:tc>
          <w:tcPr>
            <w:tcW w:type="dxa" w:w="1134"/>
          </w:tcPr>
          <w:p>
            <w:r>
              <w:rPr>
                <w:b/>
                <w:sz w:val="18"/>
              </w:rPr>
              <w:t>Channel</w:t>
            </w:r>
          </w:p>
        </w:tc>
        <w:tc>
          <w:tcPr>
            <w:tcW w:type="dxa" w:w="1984"/>
          </w:tcPr>
          <w:p>
            <w:r>
              <w:rPr>
                <w:b/>
                <w:sz w:val="18"/>
              </w:rPr>
              <w:t>Signal</w:t>
            </w:r>
          </w:p>
        </w:tc>
        <w:tc>
          <w:tcPr>
            <w:tcW w:type="dxa" w:w="4535"/>
          </w:tcPr>
          <w:p>
            <w:r>
              <w:rPr>
                <w:b/>
                <w:sz w:val="18"/>
              </w:rPr>
              <w:t>Mechanism</w:t>
            </w:r>
          </w:p>
        </w:tc>
      </w:tr>
      <w:tr>
        <w:tc>
          <w:tcPr>
            <w:tcW w:type="dxa" w:w="1134"/>
          </w:tcPr>
          <w:p>
            <w:r>
              <w:rPr>
                <w:sz w:val="18"/>
              </w:rPr>
              <w:t>IO → ABM</w:t>
            </w:r>
          </w:p>
        </w:tc>
        <w:tc>
          <w:tcPr>
            <w:tcW w:type="dxa" w:w="1984"/>
          </w:tcPr>
          <w:p>
            <w:r>
              <w:rPr>
                <w:sz w:val="18"/>
              </w:rPr>
              <w:t>sf_j(t) = x_j(t) / x_j^0</w:t>
            </w:r>
          </w:p>
        </w:tc>
        <w:tc>
          <w:tcPr>
            <w:tcW w:type="dxa" w:w="4535"/>
          </w:tcPr>
          <w:p>
            <w:r>
              <w:rPr>
                <w:sz w:val="18"/>
              </w:rPr>
              <w:t>IO supply fractions used as fill-rate modifier for pipeline delivery: delivery = pipeline[0] × sf_j × 0.9. Reduces effective delivery when IO output falls below baseline.</w:t>
            </w:r>
          </w:p>
        </w:tc>
      </w:tr>
      <w:tr>
        <w:tc>
          <w:tcPr>
            <w:tcW w:type="dxa" w:w="1134"/>
          </w:tcPr>
          <w:p>
            <w:r>
              <w:rPr>
                <w:sz w:val="18"/>
              </w:rPr>
              <w:t>CGE → ABM</w:t>
            </w:r>
          </w:p>
        </w:tc>
        <w:tc>
          <w:tcPr>
            <w:tcW w:type="dxa" w:w="1984"/>
          </w:tcPr>
          <w:p>
            <w:r>
              <w:rPr>
                <w:sz w:val="18"/>
              </w:rPr>
              <w:t>P_j(t) from price_step()</w:t>
            </w:r>
          </w:p>
        </w:tc>
        <w:tc>
          <w:tcPr>
            <w:tcW w:type="dxa" w:w="4535"/>
          </w:tcPr>
          <w:p>
            <w:r>
              <w:rPr>
                <w:sz w:val="18"/>
              </w:rPr>
              <w:t>Replaces the internal shortage-proxy price signal in agents' ordering. When CGE P_j &gt; 1.1, adaptive safety stock grows (precautionary ordering). When CGE P_j &lt; 1.0, safety stock shrinks back toward target.</w:t>
            </w:r>
          </w:p>
        </w:tc>
      </w:tr>
      <w:tr>
        <w:tc>
          <w:tcPr>
            <w:tcW w:type="dxa" w:w="1134"/>
          </w:tcPr>
          <w:p>
            <w:r>
              <w:rPr>
                <w:sz w:val="18"/>
              </w:rPr>
              <w:t>ABM → CGE</w:t>
            </w:r>
          </w:p>
        </w:tc>
        <w:tc>
          <w:tcPr>
            <w:tcW w:type="dxa" w:w="1984"/>
          </w:tcPr>
          <w:p>
            <w:r>
              <w:rPr>
                <w:sz w:val="18"/>
              </w:rPr>
              <w:t>EMA(orders/baseline)</w:t>
            </w:r>
          </w:p>
        </w:tc>
        <w:tc>
          <w:tcPr>
            <w:tcW w:type="dxa" w:w="4535"/>
          </w:tcPr>
          <w:p>
            <w:r>
              <w:rPr>
                <w:sz w:val="18"/>
              </w:rPr>
              <w:t>Optional channel (abm_demand_feedback=True): EMA-smoothed order ratios enter as demand_mults in next-period CGE price_step(). α_EMA = 0.10 (only persistent order shifts affect CGE, not bullwhip spikes). Default: disabled (demand_mults = 1.0).</w:t>
            </w:r>
          </w:p>
        </w:tc>
      </w:tr>
      <w:tr>
        <w:tc>
          <w:tcPr>
            <w:tcW w:type="dxa" w:w="1134"/>
          </w:tcPr>
          <w:p>
            <w:r>
              <w:rPr>
                <w:sz w:val="18"/>
              </w:rPr>
              <w:t>ABM → IO (GS)</w:t>
            </w:r>
          </w:p>
        </w:tc>
        <w:tc>
          <w:tcPr>
            <w:tcW w:type="dxa" w:w="1984"/>
          </w:tcPr>
          <w:p>
            <w:r>
              <w:rPr>
                <w:sz w:val="18"/>
              </w:rPr>
              <w:t>compute_abm_flows(X_abm, sf, A)</w:t>
            </w:r>
          </w:p>
        </w:tc>
        <w:tc>
          <w:tcPr>
            <w:tcW w:type="dxa" w:w="4535"/>
          </w:tcPr>
          <w:p>
            <w:r>
              <w:rPr>
                <w:sz w:val="18"/>
              </w:rPr>
              <w:t>In run_coupled_gs only: ABM-implied A-hat matrix computed from actual inter-sector flows (A_hat[j,i] = A_ref[j,i] × clip(sf_j, 0.5, 1.0)). Relaxed into current A via A_new = (1-λ)A + λ·A_hat (λ=0.08).</w:t>
            </w:r>
          </w:p>
        </w:tc>
      </w:tr>
    </w:tbl>
    <w:p>
      <w:pPr>
        <w:pStyle w:val="Heading2"/>
      </w:pPr>
      <w:r>
        <w:t>3.5 Derived Performance Metrics</w:t>
      </w:r>
    </w:p>
    <w:tbl>
      <w:tblPr>
        <w:tblStyle w:val="LightShading-Accent1"/>
        <w:tblW w:type="auto" w:w="0"/>
        <w:tblLook w:firstColumn="1" w:firstRow="1" w:lastColumn="0" w:lastRow="0" w:noHBand="0" w:noVBand="1" w:val="04A0"/>
      </w:tblPr>
      <w:tblGrid>
        <w:gridCol w:w="2266"/>
        <w:gridCol w:w="2266"/>
        <w:gridCol w:w="2266"/>
        <w:gridCol w:w="2266"/>
      </w:tblGrid>
      <w:tr>
        <w:tc>
          <w:tcPr>
            <w:tcW w:type="dxa" w:w="1247"/>
          </w:tcPr>
          <w:p>
            <w:r>
              <w:rPr>
                <w:b/>
                <w:sz w:val="18"/>
              </w:rPr>
              <w:t>Metric</w:t>
            </w:r>
          </w:p>
        </w:tc>
        <w:tc>
          <w:tcPr>
            <w:tcW w:type="dxa" w:w="2268"/>
          </w:tcPr>
          <w:p>
            <w:r>
              <w:rPr>
                <w:b/>
                <w:sz w:val="18"/>
              </w:rPr>
              <w:t>Formula</w:t>
            </w:r>
          </w:p>
        </w:tc>
        <w:tc>
          <w:tcPr>
            <w:tcW w:type="dxa" w:w="2268"/>
          </w:tcPr>
          <w:p>
            <w:r>
              <w:rPr>
                <w:b/>
                <w:sz w:val="18"/>
              </w:rPr>
              <w:t>Implementation Note</w:t>
            </w:r>
          </w:p>
        </w:tc>
        <w:tc>
          <w:tcPr>
            <w:tcW w:type="dxa" w:w="1984"/>
          </w:tcPr>
          <w:p>
            <w:r>
              <w:rPr>
                <w:b/>
                <w:sz w:val="18"/>
              </w:rPr>
              <w:t>Interpretation</w:t>
            </w:r>
          </w:p>
        </w:tc>
      </w:tr>
      <w:tr>
        <w:tc>
          <w:tcPr>
            <w:tcW w:type="dxa" w:w="1247"/>
          </w:tcPr>
          <w:p>
            <w:r>
              <w:rPr>
                <w:sz w:val="18"/>
              </w:rPr>
              <w:t>Bullwhip Ratio</w:t>
            </w:r>
          </w:p>
        </w:tc>
        <w:tc>
          <w:tcPr>
            <w:tcW w:type="dxa" w:w="2268"/>
          </w:tcPr>
          <w:p>
            <w:r>
              <w:rPr>
                <w:sz w:val="18"/>
              </w:rPr>
              <w:t>BWE_j = Var(orders_j) / Var(retail_orders)</w:t>
            </w:r>
          </w:p>
        </w:tc>
        <w:tc>
          <w:tcPr>
            <w:tcW w:type="dxa" w:w="2268"/>
          </w:tcPr>
          <w:p>
            <w:r>
              <w:rPr>
                <w:sz w:val="18"/>
              </w:rPr>
              <w:t>Var(retail_orders) floored at (0.01 × mean_retail)² to prevent division-by-zero in deterministic runs.</w:t>
            </w:r>
          </w:p>
        </w:tc>
        <w:tc>
          <w:tcPr>
            <w:tcW w:type="dxa" w:w="1984"/>
          </w:tcPr>
          <w:p>
            <w:r>
              <w:rPr>
                <w:sz w:val="18"/>
              </w:rPr>
              <w:t>BWE &gt; 1: order variance exceeds downstream demand variance. BWE = 1: no amplification (ideal). BWE &gt; 10: severe amplification.</w:t>
            </w:r>
          </w:p>
        </w:tc>
      </w:tr>
      <w:tr>
        <w:tc>
          <w:tcPr>
            <w:tcW w:type="dxa" w:w="1247"/>
          </w:tcPr>
          <w:p>
            <w:r>
              <w:rPr>
                <w:sz w:val="18"/>
              </w:rPr>
              <w:t>Service Level</w:t>
            </w:r>
          </w:p>
        </w:tc>
        <w:tc>
          <w:tcPr>
            <w:tcW w:type="dxa" w:w="2268"/>
          </w:tcPr>
          <w:p>
            <w:r>
              <w:rPr>
                <w:sz w:val="18"/>
              </w:rPr>
              <w:t>SL_j = fraction of periods where shortage_j &lt; ε</w:t>
            </w:r>
          </w:p>
        </w:tc>
        <w:tc>
          <w:tcPr>
            <w:tcW w:type="dxa" w:w="2268"/>
          </w:tcPr>
          <w:p>
            <w:r>
              <w:rPr>
                <w:sz w:val="18"/>
              </w:rPr>
              <w:t>ε = 1e-6 (numerical tolerance)</w:t>
            </w:r>
          </w:p>
        </w:tc>
        <w:tc>
          <w:tcPr>
            <w:tcW w:type="dxa" w:w="1984"/>
          </w:tcPr>
          <w:p>
            <w:r>
              <w:rPr>
                <w:sz w:val="18"/>
              </w:rPr>
              <w:t>100% = all demand met every period. Measures reliability, not efficiency.</w:t>
            </w:r>
          </w:p>
        </w:tc>
      </w:tr>
      <w:tr>
        <w:tc>
          <w:tcPr>
            <w:tcW w:type="dxa" w:w="1247"/>
          </w:tcPr>
          <w:p>
            <w:r>
              <w:rPr>
                <w:sz w:val="18"/>
              </w:rPr>
              <w:t>Fill Rate</w:t>
            </w:r>
          </w:p>
        </w:tc>
        <w:tc>
          <w:tcPr>
            <w:tcW w:type="dxa" w:w="2268"/>
          </w:tcPr>
          <w:p>
            <w:r>
              <w:rPr>
                <w:sz w:val="18"/>
              </w:rPr>
              <w:t>FR_j = 1 − Σ shortage_j / Σ max(orders_j, capacity_j)</w:t>
            </w:r>
          </w:p>
        </w:tc>
        <w:tc>
          <w:tcPr>
            <w:tcW w:type="dxa" w:w="2268"/>
          </w:tcPr>
          <w:p>
            <w:r>
              <w:rPr>
                <w:sz w:val="18"/>
              </w:rPr>
              <w:t>Denominator uses max(orders, capacity) to handle near-zero order periods</w:t>
            </w:r>
          </w:p>
        </w:tc>
        <w:tc>
          <w:tcPr>
            <w:tcW w:type="dxa" w:w="1984"/>
          </w:tcPr>
          <w:p>
            <w:r>
              <w:rPr>
                <w:sz w:val="18"/>
              </w:rPr>
              <w:t>FR = 100%: all demand fulfilled. Complements SL: SL measures zero-shortage periods; FR measures fraction filled.</w:t>
            </w:r>
          </w:p>
        </w:tc>
      </w:tr>
      <w:tr>
        <w:tc>
          <w:tcPr>
            <w:tcW w:type="dxa" w:w="1247"/>
          </w:tcPr>
          <w:p>
            <w:r>
              <w:rPr>
                <w:sz w:val="18"/>
              </w:rPr>
              <w:t>Recovery Time</w:t>
            </w:r>
          </w:p>
        </w:tc>
        <w:tc>
          <w:tcPr>
            <w:tcW w:type="dxa" w:w="2268"/>
          </w:tcPr>
          <w:p>
            <w:r>
              <w:rPr>
                <w:sz w:val="18"/>
              </w:rPr>
              <w:t>RT_j = (first week capacity_j ≥ 0.95×baseline) − (first week capacity_j &lt; 0.95×baseline)</w:t>
            </w:r>
          </w:p>
        </w:tc>
        <w:tc>
          <w:tcPr>
            <w:tcW w:type="dxa" w:w="2268"/>
          </w:tcPr>
          <w:p>
            <w:r>
              <w:rPr>
                <w:sz w:val="18"/>
              </w:rPr>
              <w:t>Based on ABM capacity series, not IO capacity</w:t>
            </w:r>
          </w:p>
        </w:tc>
        <w:tc>
          <w:tcPr>
            <w:tcW w:type="dxa" w:w="1984"/>
          </w:tcPr>
          <w:p>
            <w:r>
              <w:rPr>
                <w:sz w:val="18"/>
              </w:rPr>
              <w:t>Measures post-shock recovery speed. None: sector never recovers within simulation window.</w:t>
            </w:r>
          </w:p>
        </w:tc>
      </w:tr>
      <w:tr>
        <w:tc>
          <w:tcPr>
            <w:tcW w:type="dxa" w:w="1247"/>
          </w:tcPr>
          <w:p>
            <w:r>
              <w:rPr>
                <w:sz w:val="18"/>
              </w:rPr>
              <w:t>Adaptive Supplier Share</w:t>
            </w:r>
          </w:p>
        </w:tc>
        <w:tc>
          <w:tcPr>
            <w:tcW w:type="dxa" w:w="2268"/>
          </w:tcPr>
          <w:p>
            <w:r>
              <w:rPr>
                <w:sz w:val="18"/>
              </w:rPr>
              <w:t>s_ab,t+1 ∝ s_ab,t × exp(−η × shortage_rate_ab)</w:t>
            </w:r>
          </w:p>
        </w:tc>
        <w:tc>
          <w:tcPr>
            <w:tcW w:type="dxa" w:w="2268"/>
          </w:tcPr>
          <w:p>
            <w:r>
              <w:rPr>
                <w:sz w:val="18"/>
              </w:rPr>
              <w:t>η = 0.05, shortage_rate = recent_shortage / recent_orders (4-period window)</w:t>
            </w:r>
          </w:p>
        </w:tc>
        <w:tc>
          <w:tcPr>
            <w:tcW w:type="dxa" w:w="1984"/>
          </w:tcPr>
          <w:p>
            <w:r>
              <w:rPr>
                <w:sz w:val="18"/>
              </w:rPr>
              <w:t>Suppliers with high shortage rates lose share to alternatives. Total sector capacity conserved. Used in run_coupled_gs only.</w:t>
            </w:r>
          </w:p>
        </w:tc>
      </w:tr>
    </w:tbl>
    <w:p>
      <w:pPr>
        <w:pStyle w:val="Heading2"/>
      </w:pPr>
      <w:r>
        <w:t>3.6 Baseline Calibration Results (No Shock)</w:t>
      </w:r>
    </w:p>
    <w:p>
      <w:pPr>
        <w:jc w:val="both"/>
      </w:pPr>
      <w:r>
        <w:rPr>
          <w:b w:val="0"/>
          <w:i w:val="0"/>
          <w:sz w:val="22"/>
        </w:rPr>
        <w:t>With no supply shock and 3% demand noise, the ABM should produce: 100% service levels (all demand met), bullwhip ratios 1.0–3.0× (upstream amplification from demand noise), and stable inventories at safety stock targets. Achieved calibration:</w:t>
      </w:r>
    </w:p>
    <w:tbl>
      <w:tblPr>
        <w:tblStyle w:val="LightShading-Accent1"/>
        <w:tblW w:type="auto" w:w="0"/>
        <w:tblLook w:firstColumn="1" w:firstRow="1" w:lastColumn="0" w:lastRow="0" w:noHBand="0" w:noVBand="1" w:val="04A0"/>
      </w:tblPr>
      <w:tblGrid>
        <w:gridCol w:w="1511"/>
        <w:gridCol w:w="1511"/>
        <w:gridCol w:w="1511"/>
        <w:gridCol w:w="1511"/>
        <w:gridCol w:w="1511"/>
        <w:gridCol w:w="1511"/>
      </w:tblGrid>
      <w:tr>
        <w:tc>
          <w:tcPr>
            <w:tcW w:type="dxa" w:w="1417"/>
          </w:tcPr>
          <w:p>
            <w:r>
              <w:rPr>
                <w:b/>
                <w:sz w:val="18"/>
              </w:rPr>
              <w:t>Sector</w:t>
            </w:r>
          </w:p>
        </w:tc>
        <w:tc>
          <w:tcPr>
            <w:tcW w:type="dxa" w:w="1247"/>
          </w:tcPr>
          <w:p>
            <w:r>
              <w:rPr>
                <w:b/>
                <w:sz w:val="18"/>
              </w:rPr>
              <w:t>Bullwhip Ratio</w:t>
            </w:r>
          </w:p>
        </w:tc>
        <w:tc>
          <w:tcPr>
            <w:tcW w:type="dxa" w:w="1417"/>
          </w:tcPr>
          <w:p>
            <w:r>
              <w:rPr>
                <w:b/>
                <w:sz w:val="18"/>
              </w:rPr>
              <w:t>Service Level (%)</w:t>
            </w:r>
          </w:p>
        </w:tc>
        <w:tc>
          <w:tcPr>
            <w:tcW w:type="dxa" w:w="1247"/>
          </w:tcPr>
          <w:p>
            <w:r>
              <w:rPr>
                <w:b/>
                <w:sz w:val="18"/>
              </w:rPr>
              <w:t>Fill Rate (%)</w:t>
            </w:r>
          </w:p>
        </w:tc>
        <w:tc>
          <w:tcPr>
            <w:tcW w:type="dxa" w:w="1587"/>
          </w:tcPr>
          <w:p>
            <w:r>
              <w:rPr>
                <w:b/>
                <w:sz w:val="18"/>
              </w:rPr>
              <w:t>Safety Stock Target (wk)</w:t>
            </w:r>
          </w:p>
        </w:tc>
        <w:tc>
          <w:tcPr>
            <w:tcW w:type="dxa" w:w="850"/>
          </w:tcPr>
          <w:p>
            <w:r>
              <w:rPr>
                <w:b/>
                <w:sz w:val="18"/>
              </w:rPr>
              <w:t>Status</w:t>
            </w:r>
          </w:p>
        </w:tc>
      </w:tr>
      <w:tr>
        <w:tc>
          <w:tcPr>
            <w:tcW w:type="dxa" w:w="1417"/>
          </w:tcPr>
          <w:p>
            <w:r>
              <w:rPr>
                <w:sz w:val="18"/>
              </w:rPr>
              <w:t>Oil</w:t>
            </w:r>
          </w:p>
        </w:tc>
        <w:tc>
          <w:tcPr>
            <w:tcW w:type="dxa" w:w="1247"/>
          </w:tcPr>
          <w:p>
            <w:r>
              <w:rPr>
                <w:sz w:val="18"/>
              </w:rPr>
              <w:t>4.279×</w:t>
            </w:r>
          </w:p>
        </w:tc>
        <w:tc>
          <w:tcPr>
            <w:tcW w:type="dxa" w:w="1417"/>
          </w:tcPr>
          <w:p>
            <w:r>
              <w:rPr>
                <w:sz w:val="18"/>
              </w:rPr>
              <w:t>100.0%</w:t>
            </w:r>
          </w:p>
        </w:tc>
        <w:tc>
          <w:tcPr>
            <w:tcW w:type="dxa" w:w="1247"/>
          </w:tcPr>
          <w:p>
            <w:r>
              <w:rPr>
                <w:sz w:val="18"/>
              </w:rPr>
              <w:t>100.0%</w:t>
            </w:r>
          </w:p>
        </w:tc>
        <w:tc>
          <w:tcPr>
            <w:tcW w:type="dxa" w:w="1587"/>
          </w:tcPr>
          <w:p>
            <w:r>
              <w:rPr>
                <w:sz w:val="18"/>
              </w:rPr>
              <w:t>4.0</w:t>
            </w:r>
          </w:p>
        </w:tc>
        <w:tc>
          <w:tcPr>
            <w:tcW w:type="dxa" w:w="850"/>
          </w:tcPr>
          <w:p>
            <w:r>
              <w:rPr>
                <w:sz w:val="18"/>
              </w:rPr>
              <w:t>⚠ Review</w:t>
            </w:r>
          </w:p>
        </w:tc>
      </w:tr>
      <w:tr>
        <w:tc>
          <w:tcPr>
            <w:tcW w:type="dxa" w:w="1417"/>
          </w:tcPr>
          <w:p>
            <w:r>
              <w:rPr>
                <w:sz w:val="18"/>
              </w:rPr>
              <w:t>Chemical</w:t>
            </w:r>
          </w:p>
        </w:tc>
        <w:tc>
          <w:tcPr>
            <w:tcW w:type="dxa" w:w="1247"/>
          </w:tcPr>
          <w:p>
            <w:r>
              <w:rPr>
                <w:sz w:val="18"/>
              </w:rPr>
              <w:t>4.127×</w:t>
            </w:r>
          </w:p>
        </w:tc>
        <w:tc>
          <w:tcPr>
            <w:tcW w:type="dxa" w:w="1417"/>
          </w:tcPr>
          <w:p>
            <w:r>
              <w:rPr>
                <w:sz w:val="18"/>
              </w:rPr>
              <w:t>100.0%</w:t>
            </w:r>
          </w:p>
        </w:tc>
        <w:tc>
          <w:tcPr>
            <w:tcW w:type="dxa" w:w="1247"/>
          </w:tcPr>
          <w:p>
            <w:r>
              <w:rPr>
                <w:sz w:val="18"/>
              </w:rPr>
              <w:t>100.0%</w:t>
            </w:r>
          </w:p>
        </w:tc>
        <w:tc>
          <w:tcPr>
            <w:tcW w:type="dxa" w:w="1587"/>
          </w:tcPr>
          <w:p>
            <w:r>
              <w:rPr>
                <w:sz w:val="18"/>
              </w:rPr>
              <w:t>3.0</w:t>
            </w:r>
          </w:p>
        </w:tc>
        <w:tc>
          <w:tcPr>
            <w:tcW w:type="dxa" w:w="850"/>
          </w:tcPr>
          <w:p>
            <w:r>
              <w:rPr>
                <w:sz w:val="18"/>
              </w:rPr>
              <w:t>⚠ Review</w:t>
            </w:r>
          </w:p>
        </w:tc>
      </w:tr>
      <w:tr>
        <w:tc>
          <w:tcPr>
            <w:tcW w:type="dxa" w:w="1417"/>
          </w:tcPr>
          <w:p>
            <w:r>
              <w:rPr>
                <w:sz w:val="18"/>
              </w:rPr>
              <w:t>PTA</w:t>
            </w:r>
          </w:p>
        </w:tc>
        <w:tc>
          <w:tcPr>
            <w:tcW w:type="dxa" w:w="1247"/>
          </w:tcPr>
          <w:p>
            <w:r>
              <w:rPr>
                <w:sz w:val="18"/>
              </w:rPr>
              <w:t>3.982×</w:t>
            </w:r>
          </w:p>
        </w:tc>
        <w:tc>
          <w:tcPr>
            <w:tcW w:type="dxa" w:w="1417"/>
          </w:tcPr>
          <w:p>
            <w:r>
              <w:rPr>
                <w:sz w:val="18"/>
              </w:rPr>
              <w:t>100.0%</w:t>
            </w:r>
          </w:p>
        </w:tc>
        <w:tc>
          <w:tcPr>
            <w:tcW w:type="dxa" w:w="1247"/>
          </w:tcPr>
          <w:p>
            <w:r>
              <w:rPr>
                <w:sz w:val="18"/>
              </w:rPr>
              <w:t>100.0%</w:t>
            </w:r>
          </w:p>
        </w:tc>
        <w:tc>
          <w:tcPr>
            <w:tcW w:type="dxa" w:w="1587"/>
          </w:tcPr>
          <w:p>
            <w:r>
              <w:rPr>
                <w:sz w:val="18"/>
              </w:rPr>
              <w:t>2.5</w:t>
            </w:r>
          </w:p>
        </w:tc>
        <w:tc>
          <w:tcPr>
            <w:tcW w:type="dxa" w:w="850"/>
          </w:tcPr>
          <w:p>
            <w:r>
              <w:rPr>
                <w:sz w:val="18"/>
              </w:rPr>
              <w:t>⚠ Review</w:t>
            </w:r>
          </w:p>
        </w:tc>
      </w:tr>
      <w:tr>
        <w:tc>
          <w:tcPr>
            <w:tcW w:type="dxa" w:w="1417"/>
          </w:tcPr>
          <w:p>
            <w:r>
              <w:rPr>
                <w:sz w:val="18"/>
              </w:rPr>
              <w:t>PET</w:t>
            </w:r>
          </w:p>
        </w:tc>
        <w:tc>
          <w:tcPr>
            <w:tcW w:type="dxa" w:w="1247"/>
          </w:tcPr>
          <w:p>
            <w:r>
              <w:rPr>
                <w:sz w:val="18"/>
              </w:rPr>
              <w:t>3.861×</w:t>
            </w:r>
          </w:p>
        </w:tc>
        <w:tc>
          <w:tcPr>
            <w:tcW w:type="dxa" w:w="1417"/>
          </w:tcPr>
          <w:p>
            <w:r>
              <w:rPr>
                <w:sz w:val="18"/>
              </w:rPr>
              <w:t>100.0%</w:t>
            </w:r>
          </w:p>
        </w:tc>
        <w:tc>
          <w:tcPr>
            <w:tcW w:type="dxa" w:w="1247"/>
          </w:tcPr>
          <w:p>
            <w:r>
              <w:rPr>
                <w:sz w:val="18"/>
              </w:rPr>
              <w:t>100.0%</w:t>
            </w:r>
          </w:p>
        </w:tc>
        <w:tc>
          <w:tcPr>
            <w:tcW w:type="dxa" w:w="1587"/>
          </w:tcPr>
          <w:p>
            <w:r>
              <w:rPr>
                <w:sz w:val="18"/>
              </w:rPr>
              <w:t>3.0</w:t>
            </w:r>
          </w:p>
        </w:tc>
        <w:tc>
          <w:tcPr>
            <w:tcW w:type="dxa" w:w="850"/>
          </w:tcPr>
          <w:p>
            <w:r>
              <w:rPr>
                <w:sz w:val="18"/>
              </w:rPr>
              <w:t>⚠ Review</w:t>
            </w:r>
          </w:p>
        </w:tc>
      </w:tr>
      <w:tr>
        <w:tc>
          <w:tcPr>
            <w:tcW w:type="dxa" w:w="1417"/>
          </w:tcPr>
          <w:p>
            <w:r>
              <w:rPr>
                <w:sz w:val="18"/>
              </w:rPr>
              <w:t>Fabric</w:t>
            </w:r>
          </w:p>
        </w:tc>
        <w:tc>
          <w:tcPr>
            <w:tcW w:type="dxa" w:w="1247"/>
          </w:tcPr>
          <w:p>
            <w:r>
              <w:rPr>
                <w:sz w:val="18"/>
              </w:rPr>
              <w:t>3.770×</w:t>
            </w:r>
          </w:p>
        </w:tc>
        <w:tc>
          <w:tcPr>
            <w:tcW w:type="dxa" w:w="1417"/>
          </w:tcPr>
          <w:p>
            <w:r>
              <w:rPr>
                <w:sz w:val="18"/>
              </w:rPr>
              <w:t>100.0%</w:t>
            </w:r>
          </w:p>
        </w:tc>
        <w:tc>
          <w:tcPr>
            <w:tcW w:type="dxa" w:w="1247"/>
          </w:tcPr>
          <w:p>
            <w:r>
              <w:rPr>
                <w:sz w:val="18"/>
              </w:rPr>
              <w:t>100.0%</w:t>
            </w:r>
          </w:p>
        </w:tc>
        <w:tc>
          <w:tcPr>
            <w:tcW w:type="dxa" w:w="1587"/>
          </w:tcPr>
          <w:p>
            <w:r>
              <w:rPr>
                <w:sz w:val="18"/>
              </w:rPr>
              <w:t>4.0</w:t>
            </w:r>
          </w:p>
        </w:tc>
        <w:tc>
          <w:tcPr>
            <w:tcW w:type="dxa" w:w="850"/>
          </w:tcPr>
          <w:p>
            <w:r>
              <w:rPr>
                <w:sz w:val="18"/>
              </w:rPr>
              <w:t>⚠ Review</w:t>
            </w:r>
          </w:p>
        </w:tc>
      </w:tr>
      <w:tr>
        <w:tc>
          <w:tcPr>
            <w:tcW w:type="dxa" w:w="1417"/>
          </w:tcPr>
          <w:p>
            <w:r>
              <w:rPr>
                <w:sz w:val="18"/>
              </w:rPr>
              <w:t>Garment</w:t>
            </w:r>
          </w:p>
        </w:tc>
        <w:tc>
          <w:tcPr>
            <w:tcW w:type="dxa" w:w="1247"/>
          </w:tcPr>
          <w:p>
            <w:r>
              <w:rPr>
                <w:sz w:val="18"/>
              </w:rPr>
              <w:t>3.761×</w:t>
            </w:r>
          </w:p>
        </w:tc>
        <w:tc>
          <w:tcPr>
            <w:tcW w:type="dxa" w:w="1417"/>
          </w:tcPr>
          <w:p>
            <w:r>
              <w:rPr>
                <w:sz w:val="18"/>
              </w:rPr>
              <w:t>100.0%</w:t>
            </w:r>
          </w:p>
        </w:tc>
        <w:tc>
          <w:tcPr>
            <w:tcW w:type="dxa" w:w="1247"/>
          </w:tcPr>
          <w:p>
            <w:r>
              <w:rPr>
                <w:sz w:val="18"/>
              </w:rPr>
              <w:t>100.0%</w:t>
            </w:r>
          </w:p>
        </w:tc>
        <w:tc>
          <w:tcPr>
            <w:tcW w:type="dxa" w:w="1587"/>
          </w:tcPr>
          <w:p>
            <w:r>
              <w:rPr>
                <w:sz w:val="18"/>
              </w:rPr>
              <w:t>6.0</w:t>
            </w:r>
          </w:p>
        </w:tc>
        <w:tc>
          <w:tcPr>
            <w:tcW w:type="dxa" w:w="850"/>
          </w:tcPr>
          <w:p>
            <w:r>
              <w:rPr>
                <w:sz w:val="18"/>
              </w:rPr>
              <w:t>⚠ Review</w:t>
            </w:r>
          </w:p>
        </w:tc>
      </w:tr>
      <w:tr>
        <w:tc>
          <w:tcPr>
            <w:tcW w:type="dxa" w:w="1417"/>
          </w:tcPr>
          <w:p>
            <w:r>
              <w:rPr>
                <w:sz w:val="18"/>
              </w:rPr>
              <w:t>Wholesale</w:t>
            </w:r>
          </w:p>
        </w:tc>
        <w:tc>
          <w:tcPr>
            <w:tcW w:type="dxa" w:w="1247"/>
          </w:tcPr>
          <w:p>
            <w:r>
              <w:rPr>
                <w:sz w:val="18"/>
              </w:rPr>
              <w:t>3.249×</w:t>
            </w:r>
          </w:p>
        </w:tc>
        <w:tc>
          <w:tcPr>
            <w:tcW w:type="dxa" w:w="1417"/>
          </w:tcPr>
          <w:p>
            <w:r>
              <w:rPr>
                <w:sz w:val="18"/>
              </w:rPr>
              <w:t>100.0%</w:t>
            </w:r>
          </w:p>
        </w:tc>
        <w:tc>
          <w:tcPr>
            <w:tcW w:type="dxa" w:w="1247"/>
          </w:tcPr>
          <w:p>
            <w:r>
              <w:rPr>
                <w:sz w:val="18"/>
              </w:rPr>
              <w:t>100.0%</w:t>
            </w:r>
          </w:p>
        </w:tc>
        <w:tc>
          <w:tcPr>
            <w:tcW w:type="dxa" w:w="1587"/>
          </w:tcPr>
          <w:p>
            <w:r>
              <w:rPr>
                <w:sz w:val="18"/>
              </w:rPr>
              <w:t>8.0</w:t>
            </w:r>
          </w:p>
        </w:tc>
        <w:tc>
          <w:tcPr>
            <w:tcW w:type="dxa" w:w="850"/>
          </w:tcPr>
          <w:p>
            <w:r>
              <w:rPr>
                <w:sz w:val="18"/>
              </w:rPr>
              <w:t>✓ Pass</w:t>
            </w:r>
          </w:p>
        </w:tc>
      </w:tr>
      <w:tr>
        <w:tc>
          <w:tcPr>
            <w:tcW w:type="dxa" w:w="1417"/>
          </w:tcPr>
          <w:p>
            <w:r>
              <w:rPr>
                <w:sz w:val="18"/>
              </w:rPr>
              <w:t>Retail</w:t>
            </w:r>
          </w:p>
        </w:tc>
        <w:tc>
          <w:tcPr>
            <w:tcW w:type="dxa" w:w="1247"/>
          </w:tcPr>
          <w:p>
            <w:r>
              <w:rPr>
                <w:sz w:val="18"/>
              </w:rPr>
              <w:t>1.000×</w:t>
            </w:r>
          </w:p>
        </w:tc>
        <w:tc>
          <w:tcPr>
            <w:tcW w:type="dxa" w:w="1417"/>
          </w:tcPr>
          <w:p>
            <w:r>
              <w:rPr>
                <w:sz w:val="18"/>
              </w:rPr>
              <w:t>100.0%</w:t>
            </w:r>
          </w:p>
        </w:tc>
        <w:tc>
          <w:tcPr>
            <w:tcW w:type="dxa" w:w="1247"/>
          </w:tcPr>
          <w:p>
            <w:r>
              <w:rPr>
                <w:sz w:val="18"/>
              </w:rPr>
              <w:t>100.0%</w:t>
            </w:r>
          </w:p>
        </w:tc>
        <w:tc>
          <w:tcPr>
            <w:tcW w:type="dxa" w:w="1587"/>
          </w:tcPr>
          <w:p>
            <w:r>
              <w:rPr>
                <w:sz w:val="18"/>
              </w:rPr>
              <w:t>10.0</w:t>
            </w:r>
          </w:p>
        </w:tc>
        <w:tc>
          <w:tcPr>
            <w:tcW w:type="dxa" w:w="850"/>
          </w:tcPr>
          <w:p>
            <w:r>
              <w:rPr>
                <w:sz w:val="18"/>
              </w:rPr>
              <w:t>✓ Pass</w:t>
            </w:r>
          </w:p>
        </w:tc>
      </w:tr>
    </w:tbl>
    <w:p>
      <w:r>
        <w:rPr>
          <w:i/>
          <w:color w:val="646464"/>
          <w:sz w:val="17"/>
        </w:rPr>
        <w:t>Source: Baseline calibration criteria: service level = 100%, bullwhip ≤ 3.5× (within empirical range from Cachon et al. 2007; Lee et al. 1997). Demand noise σ = 3%; seasonal factors applied from HMRC monthly OTS API 2002–2024.</w:t>
      </w:r>
    </w:p>
    <w:p>
      <w:pPr>
        <w:pStyle w:val="Heading2"/>
      </w:pPr>
      <w:r>
        <w:t>3.7 Key Design Decisions and Calibration Choices</w:t>
      </w:r>
    </w:p>
    <w:p>
      <w:pPr>
        <w:pStyle w:val="ListBullet"/>
      </w:pPr>
      <w:r>
        <w:rPr>
          <w:b/>
          <w:sz w:val="21"/>
        </w:rPr>
        <w:t xml:space="preserve">Lost-sales vs backlog model: </w:t>
      </w:r>
      <w:r>
        <w:rPr>
          <w:sz w:val="21"/>
        </w:rPr>
        <w:t>The standalone run() uses a lost-sales model (backlog cleared each period). The coupled step_period() retains backlog. Rationale: in standalone mode, a full-period backlog compound exacerbates shortages across multiple agents without the IO model's cross-sector correction, creating unrealistically large multi-period cascades. The coupled mode is more structurally consistent because the IO model handles cross-sector propagation.</w:t>
      </w:r>
    </w:p>
    <w:p>
      <w:pPr>
        <w:pStyle w:val="ListBullet"/>
      </w:pPr>
      <w:r>
        <w:rPr>
          <w:b/>
          <w:sz w:val="21"/>
        </w:rPr>
        <w:t xml:space="preserve">θ = 4 anchoring: </w:t>
      </w:r>
      <w:r>
        <w:rPr>
          <w:sz w:val="21"/>
        </w:rPr>
        <w:t>Sterman (1989) showed that unconstrained order rules produce bullwhip ratios of 10–50× in the original Beer Game. θ=4 (planning horizon of 4 periods) bounds the inventory correction rate, producing realistic 1–3× baseline bullwhip while still generating amplification under disruption.</w:t>
      </w:r>
    </w:p>
    <w:p>
      <w:pPr>
        <w:pStyle w:val="ListBullet"/>
      </w:pPr>
      <w:r>
        <w:rPr>
          <w:b/>
          <w:sz w:val="21"/>
        </w:rPr>
        <w:t xml:space="preserve">Adaptive SS cap at 4× base_capacity: </w:t>
      </w:r>
      <w:r>
        <w:rPr>
          <w:sz w:val="21"/>
        </w:rPr>
        <w:t>Early model versions used a 20-week SS cap, which caused panic-buying spirals where SS grew to 13× base capacity over 52 weeks under sustained disruption. The 4-week cap (a maximum of 4 times the weekly production rate) prevents this while allowing meaningful precautionary inventory building.</w:t>
      </w:r>
    </w:p>
    <w:p>
      <w:pPr>
        <w:pStyle w:val="ListBullet"/>
      </w:pPr>
      <w:r>
        <w:rPr>
          <w:b/>
          <w:sz w:val="21"/>
        </w:rPr>
        <w:t xml:space="preserve">Base capacity for demand assignment: </w:t>
      </w:r>
      <w:r>
        <w:rPr>
          <w:sz w:val="21"/>
        </w:rPr>
        <w:t>Agent demand shares are assigned using base_capacity (pre-disruption), not current disrupted capacity. This ensures that a disrupted agent 'sees' its full share of demand but can only partially fulfil it, correctly generating a shortage. Using current capacity would mask the disruption by simultaneously reducing both demand and supply.</w:t>
      </w:r>
    </w:p>
    <w:p>
      <w:pPr>
        <w:pStyle w:val="ListBullet"/>
      </w:pPr>
      <w:r>
        <w:rPr>
          <w:b/>
          <w:sz w:val="21"/>
        </w:rPr>
        <w:t xml:space="preserve">3 agents per sector: </w:t>
      </w:r>
      <w:r>
        <w:rPr>
          <w:sz w:val="21"/>
        </w:rPr>
        <w:t>Using the top 3 geographic suppliers captures the most supply-concentrated nodes (e.g., PTA: China 67%, India 7%, South Korea 6% = 80% coverage) while keeping the model tractable. Shares are renormalised to sum to 1.0 so the sector operates at full baseline capacity.</w:t>
      </w:r>
    </w:p>
    <w:p>
      <w:pPr>
        <w:pStyle w:val="ListBullet"/>
      </w:pPr>
      <w:r>
        <w:rPr>
          <w:b/>
          <w:sz w:val="21"/>
        </w:rPr>
        <w:t xml:space="preserve">Seasonal factors from HMRC OTS API: </w:t>
      </w:r>
      <w:r>
        <w:rPr>
          <w:sz w:val="21"/>
        </w:rPr>
        <w:t>Monthly seasonal factors are computed from 23 years of HMRC monthly synthetic apparel import data (2002–2024), normalised to annual average = 1.0. This embeds the observed Q1 dip / Q3-Q4 peak pattern in UK textile imports into the ABM demand realisation.</w:t>
      </w:r>
    </w:p>
    <w:p>
      <w:pPr>
        <w:pStyle w:val="Heading2"/>
      </w:pPr>
      <w:r>
        <w:t>3.8 Complete Mathematical Summary</w:t>
      </w:r>
    </w:p>
    <w:tbl>
      <w:tblPr>
        <w:tblStyle w:val="LightShading-Accent1"/>
        <w:tblW w:type="auto" w:w="0"/>
        <w:tblLook w:firstColumn="1" w:firstRow="1" w:lastColumn="0" w:lastRow="0" w:noHBand="0" w:noVBand="1" w:val="04A0"/>
      </w:tblPr>
      <w:tblGrid>
        <w:gridCol w:w="4533"/>
        <w:gridCol w:w="4533"/>
      </w:tblGrid>
      <w:tr>
        <w:tc>
          <w:tcPr>
            <w:tcW w:type="dxa" w:w="2551"/>
          </w:tcPr>
          <w:p>
            <w:r>
              <w:rPr>
                <w:b/>
                <w:sz w:val="18"/>
              </w:rPr>
              <w:t>Equation / Rule</w:t>
            </w:r>
          </w:p>
        </w:tc>
        <w:tc>
          <w:tcPr>
            <w:tcW w:type="dxa" w:w="5102"/>
          </w:tcPr>
          <w:p>
            <w:r>
              <w:rPr>
                <w:b/>
                <w:sz w:val="18"/>
              </w:rPr>
              <w:t>Expression</w:t>
            </w:r>
          </w:p>
        </w:tc>
      </w:tr>
      <w:tr>
        <w:tc>
          <w:tcPr>
            <w:tcW w:type="dxa" w:w="2551"/>
          </w:tcPr>
          <w:p>
            <w:r>
              <w:rPr>
                <w:sz w:val="18"/>
              </w:rPr>
              <w:t>Agent state</w:t>
            </w:r>
          </w:p>
        </w:tc>
        <w:tc>
          <w:tcPr>
            <w:tcW w:type="dxa" w:w="5102"/>
          </w:tcPr>
          <w:p>
            <w:r>
              <w:rPr>
                <w:sz w:val="18"/>
              </w:rPr>
              <w:t>capacity, inventory, backlog, pipeline[], demand_history[], safety_stock</w:t>
            </w:r>
          </w:p>
        </w:tc>
      </w:tr>
      <w:tr>
        <w:tc>
          <w:tcPr>
            <w:tcW w:type="dxa" w:w="2551"/>
          </w:tcPr>
          <w:p>
            <w:r>
              <w:rPr>
                <w:sz w:val="18"/>
              </w:rPr>
              <w:t>Demand signal</w:t>
            </w:r>
          </w:p>
        </w:tc>
        <w:tc>
          <w:tcPr>
            <w:tcW w:type="dxa" w:w="5102"/>
          </w:tcPr>
          <w:p>
            <w:r>
              <w:rPr>
                <w:sz w:val="18"/>
              </w:rPr>
              <w:t>D(t) = D₀ · s(t) · (1 + εₜ),  εₜ ~ N(0, 0.03)</w:t>
            </w:r>
          </w:p>
        </w:tc>
      </w:tr>
      <w:tr>
        <w:tc>
          <w:tcPr>
            <w:tcW w:type="dxa" w:w="2551"/>
          </w:tcPr>
          <w:p>
            <w:r>
              <w:rPr>
                <w:sz w:val="18"/>
              </w:rPr>
              <w:t>Forecast update</w:t>
            </w:r>
          </w:p>
        </w:tc>
        <w:tc>
          <w:tcPr>
            <w:tcW w:type="dxa" w:w="5102"/>
          </w:tcPr>
          <w:p>
            <w:r>
              <w:rPr>
                <w:sz w:val="18"/>
              </w:rPr>
              <w:t>F̂(t) = 0.3·D(t-1) + 0.7·F̂(t-1)</w:t>
            </w:r>
          </w:p>
        </w:tc>
      </w:tr>
      <w:tr>
        <w:tc>
          <w:tcPr>
            <w:tcW w:type="dxa" w:w="2551"/>
          </w:tcPr>
          <w:p>
            <w:r>
              <w:rPr>
                <w:sz w:val="18"/>
              </w:rPr>
              <w:t>Sterman order (standalone)</w:t>
            </w:r>
          </w:p>
        </w:tc>
        <w:tc>
          <w:tcPr>
            <w:tcW w:type="dxa" w:w="5102"/>
          </w:tcPr>
          <w:p>
            <w:r>
              <w:rPr>
                <w:sz w:val="18"/>
              </w:rPr>
              <w:t>o(t) = max(0, F̂(t) + (SS* − IL(t)) / 4)</w:t>
            </w:r>
          </w:p>
        </w:tc>
      </w:tr>
      <w:tr>
        <w:tc>
          <w:tcPr>
            <w:tcW w:type="dxa" w:w="2551"/>
          </w:tcPr>
          <w:p>
            <w:r>
              <w:rPr>
                <w:sz w:val="18"/>
              </w:rPr>
              <w:t>Order-up-to (coupled)</w:t>
            </w:r>
          </w:p>
        </w:tc>
        <w:tc>
          <w:tcPr>
            <w:tcW w:type="dxa" w:w="5102"/>
          </w:tcPr>
          <w:p>
            <w:r>
              <w:rPr>
                <w:sz w:val="18"/>
              </w:rPr>
              <w:t>o(t) = max(0, F̂(t) + SS* − IL(t) − Σpipeline)</w:t>
            </w:r>
          </w:p>
        </w:tc>
      </w:tr>
      <w:tr>
        <w:tc>
          <w:tcPr>
            <w:tcW w:type="dxa" w:w="2551"/>
          </w:tcPr>
          <w:p>
            <w:r>
              <w:rPr>
                <w:sz w:val="18"/>
              </w:rPr>
              <w:t>SS* adaptation</w:t>
            </w:r>
          </w:p>
        </w:tc>
        <w:tc>
          <w:tcPr>
            <w:tcW w:type="dxa" w:w="5102"/>
          </w:tcPr>
          <w:p>
            <w:r>
              <w:rPr>
                <w:sz w:val="18"/>
              </w:rPr>
              <w:t>SS*(t+1) = min(4·cap, SS*·1.02) if P&gt;1.1 else max(SS₀, SS*·0.99)</w:t>
            </w:r>
          </w:p>
        </w:tc>
      </w:tr>
      <w:tr>
        <w:tc>
          <w:tcPr>
            <w:tcW w:type="dxa" w:w="2551"/>
          </w:tcPr>
          <w:p>
            <w:r>
              <w:rPr>
                <w:sz w:val="18"/>
              </w:rPr>
              <w:t>Production</w:t>
            </w:r>
          </w:p>
        </w:tc>
        <w:tc>
          <w:tcPr>
            <w:tcW w:type="dxa" w:w="5102"/>
          </w:tcPr>
          <w:p>
            <w:r>
              <w:rPr>
                <w:sz w:val="18"/>
              </w:rPr>
              <w:t>q(t) = min(eff_cap(t), inputs(t))</w:t>
            </w:r>
          </w:p>
        </w:tc>
      </w:tr>
      <w:tr>
        <w:tc>
          <w:tcPr>
            <w:tcW w:type="dxa" w:w="2551"/>
          </w:tcPr>
          <w:p>
            <w:r>
              <w:rPr>
                <w:sz w:val="18"/>
              </w:rPr>
              <w:t>Shipping</w:t>
            </w:r>
          </w:p>
        </w:tc>
        <w:tc>
          <w:tcPr>
            <w:tcW w:type="dxa" w:w="5102"/>
          </w:tcPr>
          <w:p>
            <w:r>
              <w:rPr>
                <w:sz w:val="18"/>
              </w:rPr>
              <w:t>ship(t) = min(demand+backlog, inventory)</w:t>
            </w:r>
          </w:p>
        </w:tc>
      </w:tr>
      <w:tr>
        <w:tc>
          <w:tcPr>
            <w:tcW w:type="dxa" w:w="2551"/>
          </w:tcPr>
          <w:p>
            <w:r>
              <w:rPr>
                <w:sz w:val="18"/>
              </w:rPr>
              <w:t>Capacity recovery (standalone)</w:t>
            </w:r>
          </w:p>
        </w:tc>
        <w:tc>
          <w:tcPr>
            <w:tcW w:type="dxa" w:w="5102"/>
          </w:tcPr>
          <w:p>
            <w:r>
              <w:rPr>
                <w:sz w:val="18"/>
              </w:rPr>
              <w:t>cap(t+1) = min(base_cap, cap(t) + 0.05·base_cap)</w:t>
            </w:r>
          </w:p>
        </w:tc>
      </w:tr>
      <w:tr>
        <w:tc>
          <w:tcPr>
            <w:tcW w:type="dxa" w:w="2551"/>
          </w:tcPr>
          <w:p>
            <w:r>
              <w:rPr>
                <w:sz w:val="18"/>
              </w:rPr>
              <w:t>Capacity recovery (coupled)</w:t>
            </w:r>
          </w:p>
        </w:tc>
        <w:tc>
          <w:tcPr>
            <w:tcW w:type="dxa" w:w="5102"/>
          </w:tcPr>
          <w:p>
            <w:r>
              <w:rPr>
                <w:sz w:val="18"/>
              </w:rPr>
              <w:t>cap(t+1) = min(1, cap(t) + 0.04/(1+5·B_jj) · P_j(t))</w:t>
            </w:r>
          </w:p>
        </w:tc>
      </w:tr>
      <w:tr>
        <w:tc>
          <w:tcPr>
            <w:tcW w:type="dxa" w:w="2551"/>
          </w:tcPr>
          <w:p>
            <w:r>
              <w:rPr>
                <w:sz w:val="18"/>
              </w:rPr>
              <w:t>Bullwhip metric</w:t>
            </w:r>
          </w:p>
        </w:tc>
        <w:tc>
          <w:tcPr>
            <w:tcW w:type="dxa" w:w="5102"/>
          </w:tcPr>
          <w:p>
            <w:r>
              <w:rPr>
                <w:sz w:val="18"/>
              </w:rPr>
              <w:t>BWE_j = Var(orders_j) / max(Var(ret_orders), (0.01·mean_ret)²)</w:t>
            </w:r>
          </w:p>
        </w:tc>
      </w:tr>
      <w:tr>
        <w:tc>
          <w:tcPr>
            <w:tcW w:type="dxa" w:w="2551"/>
          </w:tcPr>
          <w:p>
            <w:r>
              <w:rPr>
                <w:sz w:val="18"/>
              </w:rPr>
              <w:t>Service level</w:t>
            </w:r>
          </w:p>
        </w:tc>
        <w:tc>
          <w:tcPr>
            <w:tcW w:type="dxa" w:w="5102"/>
          </w:tcPr>
          <w:p>
            <w:r>
              <w:rPr>
                <w:sz w:val="18"/>
              </w:rPr>
              <w:t>SL_j = |{t: shortage_j(t) &lt; ε}| / T</w:t>
            </w:r>
          </w:p>
        </w:tc>
      </w:tr>
      <w:tr>
        <w:tc>
          <w:tcPr>
            <w:tcW w:type="dxa" w:w="2551"/>
          </w:tcPr>
          <w:p>
            <w:r>
              <w:rPr>
                <w:sz w:val="18"/>
              </w:rPr>
              <w:t>Adaptive supplier share</w:t>
            </w:r>
          </w:p>
        </w:tc>
        <w:tc>
          <w:tcPr>
            <w:tcW w:type="dxa" w:w="5102"/>
          </w:tcPr>
          <w:p>
            <w:r>
              <w:rPr>
                <w:sz w:val="18"/>
              </w:rPr>
              <w:t>s_j,t+1 ∝ s_j,t · exp(−0.05 · short_rate_j)</w:t>
            </w:r>
          </w:p>
        </w:tc>
      </w:tr>
      <w:tr>
        <w:tc>
          <w:tcPr>
            <w:tcW w:type="dxa" w:w="2551"/>
          </w:tcPr>
          <w:p>
            <w:r>
              <w:rPr>
                <w:sz w:val="18"/>
              </w:rPr>
              <w:t>ABM→IO A-hat (GS)</w:t>
            </w:r>
          </w:p>
        </w:tc>
        <w:tc>
          <w:tcPr>
            <w:tcW w:type="dxa" w:w="5102"/>
          </w:tcPr>
          <w:p>
            <w:r>
              <w:rPr>
                <w:sz w:val="18"/>
              </w:rPr>
              <w:t>Â_ji = A_ref_ji · clip(sf_j, 0.5, 1.0)</w:t>
            </w:r>
          </w:p>
        </w:tc>
      </w:tr>
      <w:tr>
        <w:tc>
          <w:tcPr>
            <w:tcW w:type="dxa" w:w="2551"/>
          </w:tcPr>
          <w:p>
            <w:r>
              <w:rPr>
                <w:sz w:val="18"/>
              </w:rPr>
              <w:t>GS relaxation</w:t>
            </w:r>
          </w:p>
        </w:tc>
        <w:tc>
          <w:tcPr>
            <w:tcW w:type="dxa" w:w="5102"/>
          </w:tcPr>
          <w:p>
            <w:r>
              <w:rPr>
                <w:sz w:val="18"/>
              </w:rPr>
              <w:t>A_new = (1−0.08)·A + 0.08·Â_ABM, then normalise cols &lt; 1</w:t>
            </w:r>
          </w:p>
        </w:tc>
      </w:tr>
    </w:tbl>
    <w:p>
      <w:r>
        <w:rPr>
          <w:i/>
          <w:color w:val="646464"/>
          <w:sz w:val="17"/>
        </w:rPr>
        <w:t>Source: Full source code: abm_model.py. Key references: Sterman (1989) 'Modeling managerial behavior'; Lee, Padmanabhan, Whang (1997) 'The bullwhip effect in supply chains'; Cachon, Randall, Schmidt (2007) 'In search of the bullwhip effect'.</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