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8"/>
        </w:rPr>
        <w:t>UK Polyester Textile Supply Chain</w:t>
      </w:r>
    </w:p>
    <w:p>
      <w:pPr>
        <w:jc w:val="center"/>
      </w:pPr>
      <w:r>
        <w:rPr>
          <w:b/>
          <w:sz w:val="40"/>
        </w:rPr>
        <w:t>Resilience and China Dependency Analysis</w:t>
      </w:r>
    </w:p>
    <w:p/>
    <w:p>
      <w:pPr>
        <w:jc w:val="center"/>
      </w:pPr>
      <w:r>
        <w:rPr>
          <w:i/>
          <w:sz w:val="28"/>
        </w:rPr>
        <w:t>Integrated IO × CGE × ABM Model — Full Results Report</w:t>
      </w:r>
    </w:p>
    <w:p/>
    <w:p>
      <w:pPr>
        <w:jc w:val="center"/>
      </w:pPr>
      <w:r>
        <w:rPr>
          <w:color w:val="646464"/>
          <w:sz w:val="22"/>
        </w:rPr>
        <w:t>April 2026  ·  Research Draft</w:t>
      </w:r>
    </w:p>
    <w:p>
      <w:r>
        <w:br w:type="page"/>
      </w:r>
    </w:p>
    <w:p>
      <w:pPr>
        <w:pStyle w:val="Heading1"/>
      </w:pPr>
      <w:r>
        <w:t>Executive Summary</w:t>
      </w:r>
    </w:p>
    <w:p>
      <w:pPr>
        <w:jc w:val="both"/>
      </w:pPr>
      <w:r>
        <w:rPr>
          <w:b w:val="0"/>
          <w:i w:val="0"/>
          <w:sz w:val="22"/>
        </w:rPr>
        <w:t>This report presents the full results of an integrated quantitative model of the UK polyester textile supply chain. The model combines three complementary approaches — Dynamic Input-Output (IO), Computable General Equilibrium (CGE), and Agent-Based Modelling (ABM) — to assess supply chain resilience and the economic consequences of five disruption scenarios.</w:t>
      </w:r>
    </w:p>
    <w:p>
      <w:r>
        <w:rPr>
          <w:b/>
          <w:i w:val="0"/>
          <w:sz w:val="22"/>
        </w:rPr>
        <w:t>Key findings:</w:t>
      </w:r>
    </w:p>
    <w:p>
      <w:pPr>
        <w:pStyle w:val="ListBullet"/>
      </w:pPr>
      <w:r>
        <w:rPr>
          <w:sz w:val="21"/>
        </w:rPr>
        <w:t>The worst-case scenario (S5: Multi-Node Pandemic) causes an estimated IO supply shortage loss of £2.43bn and a CGE welfare loss of £6.34bn over 52 weeks.</w:t>
      </w:r>
    </w:p>
    <w:p>
      <w:pPr>
        <w:pStyle w:val="ListBullet"/>
      </w:pPr>
      <w:r>
        <w:rPr>
          <w:sz w:val="21"/>
        </w:rPr>
        <w:t>The PTA Production Shock (S1) generates the largest upstream price pressure, with maximum CGE price rise of 13.7% and welfare loss of £3.58bn.</w:t>
      </w:r>
    </w:p>
    <w:p>
      <w:pPr>
        <w:pStyle w:val="ListBullet"/>
      </w:pPr>
      <w:r>
        <w:rPr>
          <w:sz w:val="21"/>
        </w:rPr>
        <w:t>The Geopolitical Trade Restriction (S3) produces welfare loss of £1.04bn, highlighting the systemic importance of China dependency at the garment stage (27.3% direct; ~60% with upstream tracing).</w:t>
      </w:r>
    </w:p>
    <w:p>
      <w:pPr>
        <w:pStyle w:val="ListBullet"/>
      </w:pPr>
      <w:r>
        <w:rPr>
          <w:sz w:val="21"/>
        </w:rPr>
        <w:t>Historical validation across 7 events achieves 100% directional accuracy and an overall Mean Absolute Error of 3.8 percentage points across 19 comparisons.</w:t>
      </w:r>
    </w:p>
    <w:p>
      <w:pPr>
        <w:pStyle w:val="ListBullet"/>
      </w:pPr>
      <w:r>
        <w:rPr>
          <w:sz w:val="21"/>
        </w:rPr>
        <w:t>The ABM Beer Distribution Game reveals significant bullwhip amplification: upstream sectors experience order variance 4–15× higher than downstream demand variance under severe shocks, consistent with empirical supply chain literature.</w:t>
      </w:r>
    </w:p>
    <w:p>
      <w:r>
        <w:br w:type="page"/>
      </w:r>
    </w:p>
    <w:p>
      <w:pPr>
        <w:pStyle w:val="Heading1"/>
      </w:pPr>
      <w:r>
        <w:t>1. Supply Chain Structure</w:t>
      </w:r>
    </w:p>
    <w:p>
      <w:pPr>
        <w:jc w:val="both"/>
      </w:pPr>
      <w:r>
        <w:rPr>
          <w:b w:val="0"/>
          <w:i w:val="0"/>
          <w:sz w:val="22"/>
        </w:rPr>
        <w:t>The model covers eight stages of the UK polyester textile supply chain, from crude oil extraction through to UK retail. The chain is predominantly global and highly concentrated in China at multiple upstream stages.</w:t>
      </w:r>
    </w:p>
    <w:p>
      <w:pPr>
        <w:jc w:val="center"/>
      </w:pPr>
      <w:r>
        <w:drawing>
          <wp:inline xmlns:a="http://schemas.openxmlformats.org/drawingml/2006/main" xmlns:pic="http://schemas.openxmlformats.org/drawingml/2006/picture">
            <wp:extent cx="6217920" cy="3349425"/>
            <wp:docPr id="1" name="Picture 1"/>
            <wp:cNvGraphicFramePr>
              <a:graphicFrameLocks noChangeAspect="1"/>
            </wp:cNvGraphicFramePr>
            <a:graphic>
              <a:graphicData uri="http://schemas.openxmlformats.org/drawingml/2006/picture">
                <pic:pic>
                  <pic:nvPicPr>
                    <pic:cNvPr id="0" name="fig_01_supply_chain_structure.png"/>
                    <pic:cNvPicPr/>
                  </pic:nvPicPr>
                  <pic:blipFill>
                    <a:blip r:embed="rId9"/>
                    <a:stretch>
                      <a:fillRect/>
                    </a:stretch>
                  </pic:blipFill>
                  <pic:spPr>
                    <a:xfrm>
                      <a:off x="0" y="0"/>
                      <a:ext cx="6217920" cy="3349425"/>
                    </a:xfrm>
                    <a:prstGeom prst="rect"/>
                  </pic:spPr>
                </pic:pic>
              </a:graphicData>
            </a:graphic>
          </wp:inline>
        </w:drawing>
      </w:r>
    </w:p>
    <w:p>
      <w:pPr>
        <w:jc w:val="center"/>
      </w:pPr>
      <w:r>
        <w:rPr>
          <w:i/>
          <w:sz w:val="18"/>
        </w:rPr>
        <w:t>Figure 1. UK Polyester Textile Supply Chain Structure. Colour intensity of the China dependency badge indicates geographic risk. A[i,j] values show technical input coefficients from the IO matrix.</w:t>
      </w:r>
    </w:p>
    <w:p>
      <w:r>
        <w:rPr>
          <w:b w:val="0"/>
          <w:i w:val="0"/>
          <w:sz w:val="22"/>
        </w:rPr>
        <w:t>The eight sectors and their key characteristics are summarised below.</w:t>
      </w:r>
    </w:p>
    <w:tbl>
      <w:tblPr>
        <w:tblStyle w:val="LightShading-Accent1"/>
        <w:tblW w:type="auto" w:w="0"/>
        <w:tblLook w:firstColumn="1" w:firstRow="1" w:lastColumn="0" w:lastRow="0" w:noHBand="0" w:noVBand="1" w:val="04A0"/>
      </w:tblPr>
      <w:tblGrid>
        <w:gridCol w:w="1511"/>
        <w:gridCol w:w="1511"/>
        <w:gridCol w:w="1511"/>
        <w:gridCol w:w="1511"/>
        <w:gridCol w:w="1511"/>
        <w:gridCol w:w="1511"/>
      </w:tblGrid>
      <w:tr>
        <w:tc>
          <w:tcPr>
            <w:tcW w:type="dxa" w:w="1417"/>
          </w:tcPr>
          <w:p>
            <w:r>
              <w:rPr>
                <w:b/>
                <w:sz w:val="17"/>
              </w:rPr>
              <w:t>Sector</w:t>
            </w:r>
          </w:p>
        </w:tc>
        <w:tc>
          <w:tcPr>
            <w:tcW w:type="dxa" w:w="1134"/>
          </w:tcPr>
          <w:p>
            <w:r>
              <w:rPr>
                <w:b/>
                <w:sz w:val="17"/>
              </w:rPr>
              <w:t>Annual Value</w:t>
            </w:r>
          </w:p>
        </w:tc>
        <w:tc>
          <w:tcPr>
            <w:tcW w:type="dxa" w:w="1701"/>
          </w:tcPr>
          <w:p>
            <w:r>
              <w:rPr>
                <w:b/>
                <w:sz w:val="17"/>
              </w:rPr>
              <w:t>Top Supplier</w:t>
            </w:r>
          </w:p>
        </w:tc>
        <w:tc>
          <w:tcPr>
            <w:tcW w:type="dxa" w:w="1020"/>
          </w:tcPr>
          <w:p>
            <w:r>
              <w:rPr>
                <w:b/>
                <w:sz w:val="17"/>
              </w:rPr>
              <w:t>China Share</w:t>
            </w:r>
          </w:p>
        </w:tc>
        <w:tc>
          <w:tcPr>
            <w:tcW w:type="dxa" w:w="1020"/>
          </w:tcPr>
          <w:p>
            <w:r>
              <w:rPr>
                <w:b/>
                <w:sz w:val="17"/>
              </w:rPr>
              <w:t>Armington σ</w:t>
            </w:r>
          </w:p>
        </w:tc>
        <w:tc>
          <w:tcPr>
            <w:tcW w:type="dxa" w:w="1134"/>
          </w:tcPr>
          <w:p>
            <w:r>
              <w:rPr>
                <w:b/>
                <w:sz w:val="17"/>
              </w:rPr>
              <w:t>Safety Stock</w:t>
            </w:r>
          </w:p>
        </w:tc>
      </w:tr>
      <w:tr>
        <w:tc>
          <w:tcPr>
            <w:tcW w:type="dxa" w:w="1417"/>
          </w:tcPr>
          <w:p>
            <w:r>
              <w:rPr>
                <w:sz w:val="17"/>
              </w:rPr>
              <w:t>Oil</w:t>
            </w:r>
          </w:p>
        </w:tc>
        <w:tc>
          <w:tcPr>
            <w:tcW w:type="dxa" w:w="1134"/>
          </w:tcPr>
          <w:p>
            <w:r>
              <w:rPr>
                <w:sz w:val="17"/>
              </w:rPr>
              <w:t>£0.3bn</w:t>
            </w:r>
          </w:p>
        </w:tc>
        <w:tc>
          <w:tcPr>
            <w:tcW w:type="dxa" w:w="1701"/>
          </w:tcPr>
          <w:p>
            <w:r>
              <w:rPr>
                <w:sz w:val="17"/>
              </w:rPr>
              <w:t>USA (16%)</w:t>
            </w:r>
          </w:p>
        </w:tc>
        <w:tc>
          <w:tcPr>
            <w:tcW w:type="dxa" w:w="1020"/>
          </w:tcPr>
          <w:p>
            <w:r>
              <w:rPr>
                <w:sz w:val="17"/>
              </w:rPr>
              <w:t>5%</w:t>
            </w:r>
          </w:p>
        </w:tc>
        <w:tc>
          <w:tcPr>
            <w:tcW w:type="dxa" w:w="1020"/>
          </w:tcPr>
          <w:p>
            <w:r>
              <w:rPr>
                <w:sz w:val="17"/>
              </w:rPr>
              <w:t>5.20</w:t>
            </w:r>
          </w:p>
        </w:tc>
        <w:tc>
          <w:tcPr>
            <w:tcW w:type="dxa" w:w="1134"/>
          </w:tcPr>
          <w:p>
            <w:r>
              <w:rPr>
                <w:sz w:val="17"/>
              </w:rPr>
              <w:t>4wk</w:t>
            </w:r>
          </w:p>
        </w:tc>
      </w:tr>
      <w:tr>
        <w:tc>
          <w:tcPr>
            <w:tcW w:type="dxa" w:w="1417"/>
          </w:tcPr>
          <w:p>
            <w:r>
              <w:rPr>
                <w:sz w:val="17"/>
              </w:rPr>
              <w:t>Chem</w:t>
            </w:r>
          </w:p>
        </w:tc>
        <w:tc>
          <w:tcPr>
            <w:tcW w:type="dxa" w:w="1134"/>
          </w:tcPr>
          <w:p>
            <w:r>
              <w:rPr>
                <w:sz w:val="17"/>
              </w:rPr>
              <w:t>£0.6bn</w:t>
            </w:r>
          </w:p>
        </w:tc>
        <w:tc>
          <w:tcPr>
            <w:tcW w:type="dxa" w:w="1701"/>
          </w:tcPr>
          <w:p>
            <w:r>
              <w:rPr>
                <w:sz w:val="17"/>
              </w:rPr>
              <w:t>China (35%)</w:t>
            </w:r>
          </w:p>
        </w:tc>
        <w:tc>
          <w:tcPr>
            <w:tcW w:type="dxa" w:w="1020"/>
          </w:tcPr>
          <w:p>
            <w:r>
              <w:rPr>
                <w:sz w:val="17"/>
              </w:rPr>
              <w:t>35%</w:t>
            </w:r>
          </w:p>
        </w:tc>
        <w:tc>
          <w:tcPr>
            <w:tcW w:type="dxa" w:w="1020"/>
          </w:tcPr>
          <w:p>
            <w:r>
              <w:rPr>
                <w:sz w:val="17"/>
              </w:rPr>
              <w:t>3.65</w:t>
            </w:r>
          </w:p>
        </w:tc>
        <w:tc>
          <w:tcPr>
            <w:tcW w:type="dxa" w:w="1134"/>
          </w:tcPr>
          <w:p>
            <w:r>
              <w:rPr>
                <w:sz w:val="17"/>
              </w:rPr>
              <w:t>3wk</w:t>
            </w:r>
          </w:p>
        </w:tc>
      </w:tr>
      <w:tr>
        <w:tc>
          <w:tcPr>
            <w:tcW w:type="dxa" w:w="1417"/>
          </w:tcPr>
          <w:p>
            <w:r>
              <w:rPr>
                <w:sz w:val="17"/>
              </w:rPr>
              <w:t>PTA</w:t>
            </w:r>
          </w:p>
        </w:tc>
        <w:tc>
          <w:tcPr>
            <w:tcW w:type="dxa" w:w="1134"/>
          </w:tcPr>
          <w:p>
            <w:r>
              <w:rPr>
                <w:sz w:val="17"/>
              </w:rPr>
              <w:t>£0.9bn</w:t>
            </w:r>
          </w:p>
        </w:tc>
        <w:tc>
          <w:tcPr>
            <w:tcW w:type="dxa" w:w="1701"/>
          </w:tcPr>
          <w:p>
            <w:r>
              <w:rPr>
                <w:sz w:val="17"/>
              </w:rPr>
              <w:t>China (67%)</w:t>
            </w:r>
          </w:p>
        </w:tc>
        <w:tc>
          <w:tcPr>
            <w:tcW w:type="dxa" w:w="1020"/>
          </w:tcPr>
          <w:p>
            <w:r>
              <w:rPr>
                <w:sz w:val="17"/>
              </w:rPr>
              <w:t>67%</w:t>
            </w:r>
          </w:p>
        </w:tc>
        <w:tc>
          <w:tcPr>
            <w:tcW w:type="dxa" w:w="1020"/>
          </w:tcPr>
          <w:p>
            <w:r>
              <w:rPr>
                <w:sz w:val="17"/>
              </w:rPr>
              <w:t>1.20</w:t>
            </w:r>
          </w:p>
        </w:tc>
        <w:tc>
          <w:tcPr>
            <w:tcW w:type="dxa" w:w="1134"/>
          </w:tcPr>
          <w:p>
            <w:r>
              <w:rPr>
                <w:sz w:val="17"/>
              </w:rPr>
              <w:t>2.5wk</w:t>
            </w:r>
          </w:p>
        </w:tc>
      </w:tr>
      <w:tr>
        <w:tc>
          <w:tcPr>
            <w:tcW w:type="dxa" w:w="1417"/>
          </w:tcPr>
          <w:p>
            <w:r>
              <w:rPr>
                <w:sz w:val="17"/>
              </w:rPr>
              <w:t>PET</w:t>
            </w:r>
          </w:p>
        </w:tc>
        <w:tc>
          <w:tcPr>
            <w:tcW w:type="dxa" w:w="1134"/>
          </w:tcPr>
          <w:p>
            <w:r>
              <w:rPr>
                <w:sz w:val="17"/>
              </w:rPr>
              <w:t>£1.3bn</w:t>
            </w:r>
          </w:p>
        </w:tc>
        <w:tc>
          <w:tcPr>
            <w:tcW w:type="dxa" w:w="1701"/>
          </w:tcPr>
          <w:p>
            <w:r>
              <w:rPr>
                <w:sz w:val="17"/>
              </w:rPr>
              <w:t>China (60%)</w:t>
            </w:r>
          </w:p>
        </w:tc>
        <w:tc>
          <w:tcPr>
            <w:tcW w:type="dxa" w:w="1020"/>
          </w:tcPr>
          <w:p>
            <w:r>
              <w:rPr>
                <w:sz w:val="17"/>
              </w:rPr>
              <w:t>60%</w:t>
            </w:r>
          </w:p>
        </w:tc>
        <w:tc>
          <w:tcPr>
            <w:tcW w:type="dxa" w:w="1020"/>
          </w:tcPr>
          <w:p>
            <w:r>
              <w:rPr>
                <w:sz w:val="17"/>
              </w:rPr>
              <w:t>1.50</w:t>
            </w:r>
          </w:p>
        </w:tc>
        <w:tc>
          <w:tcPr>
            <w:tcW w:type="dxa" w:w="1134"/>
          </w:tcPr>
          <w:p>
            <w:r>
              <w:rPr>
                <w:sz w:val="17"/>
              </w:rPr>
              <w:t>3wk</w:t>
            </w:r>
          </w:p>
        </w:tc>
      </w:tr>
      <w:tr>
        <w:tc>
          <w:tcPr>
            <w:tcW w:type="dxa" w:w="1417"/>
          </w:tcPr>
          <w:p>
            <w:r>
              <w:rPr>
                <w:sz w:val="17"/>
              </w:rPr>
              <w:t>Fabric</w:t>
            </w:r>
          </w:p>
        </w:tc>
        <w:tc>
          <w:tcPr>
            <w:tcW w:type="dxa" w:w="1134"/>
          </w:tcPr>
          <w:p>
            <w:r>
              <w:rPr>
                <w:sz w:val="17"/>
              </w:rPr>
              <w:t>£2.4bn</w:t>
            </w:r>
          </w:p>
        </w:tc>
        <w:tc>
          <w:tcPr>
            <w:tcW w:type="dxa" w:w="1701"/>
          </w:tcPr>
          <w:p>
            <w:r>
              <w:rPr>
                <w:sz w:val="17"/>
              </w:rPr>
              <w:t>China (43%)</w:t>
            </w:r>
          </w:p>
        </w:tc>
        <w:tc>
          <w:tcPr>
            <w:tcW w:type="dxa" w:w="1020"/>
          </w:tcPr>
          <w:p>
            <w:r>
              <w:rPr>
                <w:sz w:val="17"/>
              </w:rPr>
              <w:t>43%</w:t>
            </w:r>
          </w:p>
        </w:tc>
        <w:tc>
          <w:tcPr>
            <w:tcW w:type="dxa" w:w="1020"/>
          </w:tcPr>
          <w:p>
            <w:r>
              <w:rPr>
                <w:sz w:val="17"/>
              </w:rPr>
              <w:t>3.20</w:t>
            </w:r>
          </w:p>
        </w:tc>
        <w:tc>
          <w:tcPr>
            <w:tcW w:type="dxa" w:w="1134"/>
          </w:tcPr>
          <w:p>
            <w:r>
              <w:rPr>
                <w:sz w:val="17"/>
              </w:rPr>
              <w:t>4wk</w:t>
            </w:r>
          </w:p>
        </w:tc>
      </w:tr>
      <w:tr>
        <w:tc>
          <w:tcPr>
            <w:tcW w:type="dxa" w:w="1417"/>
          </w:tcPr>
          <w:p>
            <w:r>
              <w:rPr>
                <w:sz w:val="17"/>
              </w:rPr>
              <w:t>Garment</w:t>
            </w:r>
          </w:p>
        </w:tc>
        <w:tc>
          <w:tcPr>
            <w:tcW w:type="dxa" w:w="1134"/>
          </w:tcPr>
          <w:p>
            <w:r>
              <w:rPr>
                <w:sz w:val="17"/>
              </w:rPr>
              <w:t>£4.2bn</w:t>
            </w:r>
          </w:p>
        </w:tc>
        <w:tc>
          <w:tcPr>
            <w:tcW w:type="dxa" w:w="1701"/>
          </w:tcPr>
          <w:p>
            <w:r>
              <w:rPr>
                <w:sz w:val="17"/>
              </w:rPr>
              <w:t>China (27%)</w:t>
            </w:r>
          </w:p>
        </w:tc>
        <w:tc>
          <w:tcPr>
            <w:tcW w:type="dxa" w:w="1020"/>
          </w:tcPr>
          <w:p>
            <w:r>
              <w:rPr>
                <w:sz w:val="17"/>
              </w:rPr>
              <w:t>27%</w:t>
            </w:r>
          </w:p>
        </w:tc>
        <w:tc>
          <w:tcPr>
            <w:tcW w:type="dxa" w:w="1020"/>
          </w:tcPr>
          <w:p>
            <w:r>
              <w:rPr>
                <w:sz w:val="17"/>
              </w:rPr>
              <w:t>3.30</w:t>
            </w:r>
          </w:p>
        </w:tc>
        <w:tc>
          <w:tcPr>
            <w:tcW w:type="dxa" w:w="1134"/>
          </w:tcPr>
          <w:p>
            <w:r>
              <w:rPr>
                <w:sz w:val="17"/>
              </w:rPr>
              <w:t>6wk</w:t>
            </w:r>
          </w:p>
        </w:tc>
      </w:tr>
      <w:tr>
        <w:tc>
          <w:tcPr>
            <w:tcW w:type="dxa" w:w="1417"/>
          </w:tcPr>
          <w:p>
            <w:r>
              <w:rPr>
                <w:sz w:val="17"/>
              </w:rPr>
              <w:t>Wholesale</w:t>
            </w:r>
          </w:p>
        </w:tc>
        <w:tc>
          <w:tcPr>
            <w:tcW w:type="dxa" w:w="1134"/>
          </w:tcPr>
          <w:p>
            <w:r>
              <w:rPr>
                <w:sz w:val="17"/>
              </w:rPr>
              <w:t>£20.0bn</w:t>
            </w:r>
          </w:p>
        </w:tc>
        <w:tc>
          <w:tcPr>
            <w:tcW w:type="dxa" w:w="1701"/>
          </w:tcPr>
          <w:p>
            <w:r>
              <w:rPr>
                <w:sz w:val="17"/>
              </w:rPr>
              <w:t>UK (85%)</w:t>
            </w:r>
          </w:p>
        </w:tc>
        <w:tc>
          <w:tcPr>
            <w:tcW w:type="dxa" w:w="1020"/>
          </w:tcPr>
          <w:p>
            <w:r>
              <w:rPr>
                <w:sz w:val="17"/>
              </w:rPr>
              <w:t>0%</w:t>
            </w:r>
          </w:p>
        </w:tc>
        <w:tc>
          <w:tcPr>
            <w:tcW w:type="dxa" w:w="1020"/>
          </w:tcPr>
          <w:p>
            <w:r>
              <w:rPr>
                <w:sz w:val="17"/>
              </w:rPr>
              <w:t>3.50</w:t>
            </w:r>
          </w:p>
        </w:tc>
        <w:tc>
          <w:tcPr>
            <w:tcW w:type="dxa" w:w="1134"/>
          </w:tcPr>
          <w:p>
            <w:r>
              <w:rPr>
                <w:sz w:val="17"/>
              </w:rPr>
              <w:t>8wk</w:t>
            </w:r>
          </w:p>
        </w:tc>
      </w:tr>
      <w:tr>
        <w:tc>
          <w:tcPr>
            <w:tcW w:type="dxa" w:w="1417"/>
          </w:tcPr>
          <w:p>
            <w:r>
              <w:rPr>
                <w:sz w:val="17"/>
              </w:rPr>
              <w:t>Retail</w:t>
            </w:r>
          </w:p>
        </w:tc>
        <w:tc>
          <w:tcPr>
            <w:tcW w:type="dxa" w:w="1134"/>
          </w:tcPr>
          <w:p>
            <w:r>
              <w:rPr>
                <w:sz w:val="17"/>
              </w:rPr>
              <w:t>£51.4bn</w:t>
            </w:r>
          </w:p>
        </w:tc>
        <w:tc>
          <w:tcPr>
            <w:tcW w:type="dxa" w:w="1701"/>
          </w:tcPr>
          <w:p>
            <w:r>
              <w:rPr>
                <w:sz w:val="17"/>
              </w:rPr>
              <w:t>UK (100%)</w:t>
            </w:r>
          </w:p>
        </w:tc>
        <w:tc>
          <w:tcPr>
            <w:tcW w:type="dxa" w:w="1020"/>
          </w:tcPr>
          <w:p>
            <w:r>
              <w:rPr>
                <w:sz w:val="17"/>
              </w:rPr>
              <w:t>0%</w:t>
            </w:r>
          </w:p>
        </w:tc>
        <w:tc>
          <w:tcPr>
            <w:tcW w:type="dxa" w:w="1020"/>
          </w:tcPr>
          <w:p>
            <w:r>
              <w:rPr>
                <w:sz w:val="17"/>
              </w:rPr>
              <w:t>4.00</w:t>
            </w:r>
          </w:p>
        </w:tc>
        <w:tc>
          <w:tcPr>
            <w:tcW w:type="dxa" w:w="1134"/>
          </w:tcPr>
          <w:p>
            <w:r>
              <w:rPr>
                <w:sz w:val="17"/>
              </w:rPr>
              <w:t>10wk</w:t>
            </w:r>
          </w:p>
        </w:tc>
      </w:tr>
    </w:tbl>
    <w:p>
      <w:r>
        <w:br w:type="page"/>
      </w:r>
    </w:p>
    <w:p>
      <w:pPr>
        <w:pStyle w:val="Heading1"/>
      </w:pPr>
      <w:r>
        <w:t>2. Methodology</w:t>
      </w:r>
    </w:p>
    <w:p>
      <w:pPr>
        <w:pStyle w:val="Heading2"/>
      </w:pPr>
      <w:r>
        <w:t>2.1 Model Architecture Overview</w:t>
      </w:r>
    </w:p>
    <w:p>
      <w:pPr>
        <w:jc w:val="both"/>
      </w:pPr>
      <w:r>
        <w:rPr>
          <w:b w:val="0"/>
          <w:i w:val="0"/>
          <w:sz w:val="22"/>
        </w:rPr>
        <w:t>The model integrates three distinct modelling traditions into a single bidirectional coupled simulation. Each model captures a different dimension of supply chain behaviour:</w:t>
      </w:r>
    </w:p>
    <w:p>
      <w:pPr>
        <w:pStyle w:val="ListBullet"/>
      </w:pPr>
      <w:r>
        <w:rPr>
          <w:sz w:val="21"/>
        </w:rPr>
        <w:t>Dynamic Input-Output (IO) model: structural propagation of supply shocks through the production network via technical input coefficients.</w:t>
      </w:r>
    </w:p>
    <w:p>
      <w:pPr>
        <w:pStyle w:val="ListBullet"/>
      </w:pPr>
      <w:r>
        <w:rPr>
          <w:sz w:val="21"/>
        </w:rPr>
        <w:t>Computable General Equilibrium (CGE) model: market-clearing price adjustment with Armington import substitution, factor market responses, and welfare accounting.</w:t>
      </w:r>
    </w:p>
    <w:p>
      <w:pPr>
        <w:pStyle w:val="ListBullet"/>
      </w:pPr>
      <w:r>
        <w:rPr>
          <w:sz w:val="21"/>
        </w:rPr>
        <w:t>Agent-Based Model (ABM): behavioural order dynamics using the Beer Distribution Game framework (Sterman 1989), producing emergent bullwhip effects and heterogeneous recovery trajectories.</w:t>
      </w:r>
    </w:p>
    <w:p>
      <w:pPr>
        <w:jc w:val="center"/>
      </w:pPr>
      <w:r>
        <w:drawing>
          <wp:inline xmlns:a="http://schemas.openxmlformats.org/drawingml/2006/main" xmlns:pic="http://schemas.openxmlformats.org/drawingml/2006/picture">
            <wp:extent cx="6217920" cy="4402989"/>
            <wp:docPr id="2" name="Picture 2"/>
            <wp:cNvGraphicFramePr>
              <a:graphicFrameLocks noChangeAspect="1"/>
            </wp:cNvGraphicFramePr>
            <a:graphic>
              <a:graphicData uri="http://schemas.openxmlformats.org/drawingml/2006/picture">
                <pic:pic>
                  <pic:nvPicPr>
                    <pic:cNvPr id="0" name="fig_02_model_coupling.png"/>
                    <pic:cNvPicPr/>
                  </pic:nvPicPr>
                  <pic:blipFill>
                    <a:blip r:embed="rId10"/>
                    <a:stretch>
                      <a:fillRect/>
                    </a:stretch>
                  </pic:blipFill>
                  <pic:spPr>
                    <a:xfrm>
                      <a:off x="0" y="0"/>
                      <a:ext cx="6217920" cy="4402989"/>
                    </a:xfrm>
                    <a:prstGeom prst="rect"/>
                  </pic:spPr>
                </pic:pic>
              </a:graphicData>
            </a:graphic>
          </wp:inline>
        </w:drawing>
      </w:r>
    </w:p>
    <w:p>
      <w:pPr>
        <w:jc w:val="center"/>
      </w:pPr>
      <w:r>
        <w:rPr>
          <w:i/>
          <w:sz w:val="18"/>
        </w:rPr>
        <w:t>Figure 2. Three-model coupling architecture showing the temporal ordering within each period, parameters exchanged between models, and the optional Gauss–Seidel inner iteration loop for the run_coupled_gs variant.</w:t>
      </w:r>
    </w:p>
    <w:p>
      <w:pPr>
        <w:pStyle w:val="Heading2"/>
      </w:pPr>
      <w:r>
        <w:t>2.2 Dynamic Input-Output Model</w:t>
      </w:r>
    </w:p>
    <w:p>
      <w:pPr>
        <w:jc w:val="both"/>
      </w:pPr>
      <w:r>
        <w:rPr>
          <w:b w:val="0"/>
          <w:i w:val="0"/>
          <w:sz w:val="22"/>
        </w:rPr>
        <w:t>The IO model implements the Dynamic Leontief framework (Leontief 1970). The core production technology is represented by the technical coefficient matrix A ∈ ℝ^{8×8}, where a_{ij} is the value of sector i's output required per unit of sector j's output. The matrix was calibrated from two sources:</w:t>
      </w:r>
    </w:p>
    <w:p>
      <w:pPr>
        <w:pStyle w:val="ListBullet"/>
      </w:pPr>
      <w:r>
        <w:rPr>
          <w:sz w:val="21"/>
        </w:rPr>
        <w:t>ONS UK IO Analytical Tables 2023: downstream coefficients (Textiles→Apparel: 0.086; Wholesale→Apparel: 0.096; Petrochem→Textiles: 0.056).</w:t>
      </w:r>
    </w:p>
    <w:p>
      <w:pPr>
        <w:pStyle w:val="ListBullet"/>
      </w:pPr>
      <w:r>
        <w:rPr>
          <w:sz w:val="21"/>
        </w:rPr>
        <w:t>ICIS/IEA global supply-chain cost structures for upstream stages where UK domestic IO has near-zero coefficients (UK imports &gt;95% of polyester feedstock): Chemical→PTA: 0.62 (p-Xylene 62% of PTA cash cost); PTA→PET: 0.55; PET→Fabric: 0.45.</w:t>
      </w:r>
    </w:p>
    <w:p>
      <w:pPr>
        <w:pStyle w:val="ListBullet"/>
      </w:pPr>
      <w:r>
        <w:rPr>
          <w:sz w:val="21"/>
        </w:rPr>
        <w:t>Goods-distribution chain uses ONS IOT GVA/Output backward-chain ratios: Garment→Wholesale: 0.321; Wholesale→Retail: 0.225.</w:t>
      </w:r>
    </w:p>
    <w:p>
      <w:pPr>
        <w:jc w:val="both"/>
      </w:pPr>
      <w:r>
        <w:rPr>
          <w:b w:val="0"/>
          <w:i w:val="0"/>
          <w:sz w:val="22"/>
        </w:rPr>
        <w:t>The dynamic extension adds transit-time lags (37 days China→UK; 23 days Saudi Arabia→China) and a capital coefficient matrix B for capacity recovery. Supply shocks enter as capacity fractions; capacity recovers at a base rate of 4% per week modulated by CGE price signals.</w:t>
      </w:r>
    </w:p>
    <w:p>
      <w:pPr>
        <w:pStyle w:val="Heading2"/>
      </w:pPr>
      <w:r>
        <w:t>2.3 CGE Model</w:t>
      </w:r>
    </w:p>
    <w:p>
      <w:pPr>
        <w:jc w:val="both"/>
      </w:pPr>
      <w:r>
        <w:rPr>
          <w:b w:val="0"/>
          <w:i w:val="0"/>
          <w:sz w:val="22"/>
        </w:rPr>
        <w:t>The CGE model implements nested CES production with Armington import aggregation (Hertel et al. GTAP v10 elasticities). Key features include:</w:t>
      </w:r>
    </w:p>
    <w:p>
      <w:pPr>
        <w:pStyle w:val="ListBullet"/>
      </w:pPr>
      <w:r>
        <w:rPr>
          <w:sz w:val="21"/>
        </w:rPr>
        <w:t>Partial equilibrium: supply-shock price response P* = (supply_fraction)^{-1/σ}, dampened by an inventory buffer factor reflecting safety stock coverage.</w:t>
      </w:r>
    </w:p>
    <w:p>
      <w:pPr>
        <w:pStyle w:val="ListBullet"/>
      </w:pPr>
      <w:r>
        <w:rPr>
          <w:sz w:val="21"/>
        </w:rPr>
        <w:t>Upstream I-O cost propagation: price rises propagate through the A-matrix column structure sequentially (oil → chemical → PTA → PET → fabric → garment).</w:t>
      </w:r>
    </w:p>
    <w:p>
      <w:pPr>
        <w:pStyle w:val="ListBullet"/>
      </w:pPr>
      <w:r>
        <w:rPr>
          <w:sz w:val="21"/>
        </w:rPr>
        <w:t>Freight cost pass-through: the freight_multiplier injects cost-push via SEA_FREIGHT_SHARE (calibrated from UNCTAD 2023) at all import-intensive sectors.</w:t>
      </w:r>
    </w:p>
    <w:p>
      <w:pPr>
        <w:pStyle w:val="ListBullet"/>
      </w:pPr>
      <w:r>
        <w:rPr>
          <w:sz w:val="21"/>
        </w:rPr>
        <w:t>Welfare accounting: Compensating Variation = −Σ Q₀·(P̄ − 1) using period-average prices to capture transient shocks that fully recover before period T.</w:t>
      </w:r>
    </w:p>
    <w:p>
      <w:pPr>
        <w:pStyle w:val="ListBullet"/>
      </w:pPr>
      <w:r>
        <w:rPr>
          <w:sz w:val="21"/>
        </w:rPr>
        <w:t>Per-period price_step(): warm-starts tatonnement from the previous period and applies A-matrix cost propagation, enabling bidirectional coupling.</w:t>
      </w:r>
    </w:p>
    <w:p>
      <w:pPr>
        <w:pStyle w:val="Heading2"/>
      </w:pPr>
      <w:r>
        <w:t>2.4 Agent-Based Model</w:t>
      </w:r>
    </w:p>
    <w:p>
      <w:pPr>
        <w:jc w:val="both"/>
      </w:pPr>
      <w:r>
        <w:rPr>
          <w:b w:val="0"/>
          <w:i w:val="0"/>
          <w:sz w:val="22"/>
        </w:rPr>
        <w:t>The ABM implements the Beer Distribution Game (Sterman 1989) with 3 agents per sector (24 agents total). Each agent uses the Sterman anchored-order rule:</w:t>
      </w:r>
    </w:p>
    <w:p>
      <w:pPr>
        <w:jc w:val="center"/>
      </w:pPr>
      <w:r>
        <w:rPr>
          <w:b/>
          <w:sz w:val="22"/>
        </w:rPr>
        <w:t>Order(t) = max(0, F̂(t) + θ·(SS* – IL(t) – IP(t)))</w:t>
      </w:r>
    </w:p>
    <w:p>
      <w:pPr>
        <w:pStyle w:val="ListBullet"/>
      </w:pPr>
      <w:r>
        <w:rPr>
          <w:sz w:val="21"/>
        </w:rPr>
        <w:t>F̂(t): exponential smoothing (α=0.3) of observed demand.</w:t>
      </w:r>
    </w:p>
    <w:p>
      <w:pPr>
        <w:pStyle w:val="ListBullet"/>
      </w:pPr>
      <w:r>
        <w:rPr>
          <w:sz w:val="21"/>
        </w:rPr>
        <w:t>SS*: safety stock target (2.5–10 weeks); adaptive cap prevents panic-buying spirals.</w:t>
      </w:r>
    </w:p>
    <w:p>
      <w:pPr>
        <w:pStyle w:val="ListBullet"/>
      </w:pPr>
      <w:r>
        <w:rPr>
          <w:sz w:val="21"/>
        </w:rPr>
        <w:t>IL(t): inventory level; IP(t): in-pipeline (sum of open orders).</w:t>
      </w:r>
    </w:p>
    <w:p>
      <w:pPr>
        <w:pStyle w:val="ListBullet"/>
      </w:pPr>
      <w:r>
        <w:rPr>
          <w:sz w:val="21"/>
        </w:rPr>
        <w:t>θ = 4: anchoring parameter bounding bullwhip amplification at baseline.</w:t>
      </w:r>
    </w:p>
    <w:p>
      <w:pPr>
        <w:pStyle w:val="ListBullet"/>
      </w:pPr>
      <w:r>
        <w:rPr>
          <w:sz w:val="21"/>
        </w:rPr>
        <w:t>Lost-sales model: unfilled demand is lost each period (no compounding backlog).</w:t>
      </w:r>
    </w:p>
    <w:p>
      <w:pPr>
        <w:pStyle w:val="ListBullet"/>
      </w:pPr>
      <w:r>
        <w:rPr>
          <w:sz w:val="21"/>
        </w:rPr>
        <w:t>CGE price signals enter as order_uplift ∝ (P_j − 1): higher prices prompt precautionary ordering. IO fill-rates modify pipeline coverage expectations.</w:t>
      </w:r>
    </w:p>
    <w:p>
      <w:pPr>
        <w:pStyle w:val="Heading2"/>
      </w:pPr>
      <w:r>
        <w:t>2.5 Coupling Protocol</w:t>
      </w:r>
    </w:p>
    <w:p>
      <w:pPr>
        <w:jc w:val="both"/>
      </w:pPr>
      <w:r>
        <w:rPr>
          <w:b w:val="0"/>
          <w:i w:val="0"/>
          <w:sz w:val="22"/>
        </w:rPr>
        <w:t>Within each simulation period t (= 1 week), the three models execute in strict sequential order:</w:t>
      </w:r>
    </w:p>
    <w:p>
      <w:pPr>
        <w:pStyle w:val="ListNumber"/>
      </w:pPr>
      <w:r>
        <w:rPr>
          <w:b/>
          <w:sz w:val="21"/>
        </w:rPr>
        <w:t xml:space="preserve">Step 1 — IO: </w:t>
      </w:r>
      <w:r>
        <w:rPr>
          <w:sz w:val="21"/>
        </w:rPr>
        <w:t>Compute x(t), sht(t), sf(t) from capacity(t), lag buffer, and final demand. Capacity recovers at rate r = 0.04/(1+5·B_jj) × cap_rec_mult(t-1).</w:t>
      </w:r>
    </w:p>
    <w:p>
      <w:pPr>
        <w:pStyle w:val="ListNumber"/>
      </w:pPr>
      <w:r>
        <w:rPr>
          <w:b/>
          <w:sz w:val="21"/>
        </w:rPr>
        <w:t xml:space="preserve">Step 2 — CGE: </w:t>
      </w:r>
      <w:r>
        <w:rPr>
          <w:sz w:val="21"/>
        </w:rPr>
        <w:t>Compute P(t) = price_step(sf(t), dm(t), P(t-1)) via 40-iteration tatonnement warm-started from P(t-1).</w:t>
      </w:r>
    </w:p>
    <w:p>
      <w:pPr>
        <w:pStyle w:val="ListNumber"/>
      </w:pPr>
      <w:r>
        <w:rPr>
          <w:b/>
          <w:sz w:val="21"/>
        </w:rPr>
        <w:t xml:space="preserve">Step 3 — ABM: </w:t>
      </w:r>
      <w:r>
        <w:rPr>
          <w:sz w:val="21"/>
        </w:rPr>
        <w:t>Execute step_period(t): agents observe P(t) and sf(t), compute orders, update inventories and pipelines.</w:t>
      </w:r>
    </w:p>
    <w:p>
      <w:pPr>
        <w:pStyle w:val="ListNumber"/>
      </w:pPr>
      <w:r>
        <w:rPr>
          <w:b/>
          <w:sz w:val="21"/>
        </w:rPr>
        <w:t xml:space="preserve">Step 4 — Carry-forward: </w:t>
      </w:r>
      <w:r>
        <w:rPr>
          <w:sz w:val="21"/>
        </w:rPr>
        <w:t>cap_rec_mult(t) = clip(P(t), 0.5, 3.0). Optional: demand_mults updated via EMA(orders) if abm_demand_feedback=True.</w:t>
      </w:r>
    </w:p>
    <w:p>
      <w:pPr>
        <w:jc w:val="both"/>
      </w:pPr>
      <w:r>
        <w:rPr>
          <w:b w:val="0"/>
          <w:i w:val="0"/>
          <w:sz w:val="22"/>
        </w:rPr>
        <w:t>An extended Gauss–Seidel (Picard) variant (run_coupled_gs) iterates within each period to also update the technical coefficient matrix A, using ABM-implied flow fractions to relax A toward empirically observed micro-level behaviour (λ=0.08 relaxation weight, up to 8 inner iterations, with Hawkins–Simon enforcement at each step).</w:t>
      </w:r>
    </w:p>
    <w:p>
      <w:r>
        <w:br w:type="page"/>
      </w:r>
    </w:p>
    <w:p>
      <w:pPr>
        <w:pStyle w:val="Heading1"/>
      </w:pPr>
      <w:r>
        <w:t>3. Historical Backcasting Validation</w:t>
      </w:r>
    </w:p>
    <w:p>
      <w:pPr>
        <w:jc w:val="both"/>
      </w:pPr>
      <w:r>
        <w:rPr>
          <w:b w:val="0"/>
          <w:i w:val="0"/>
          <w:sz w:val="22"/>
        </w:rPr>
        <w:t>The model was validated against seven historical disruption events using a backcasting methodology. For each event, observed real-world outcomes (prices, supply levels, recovery times) sourced from ICIS, ONS, HMRC OTS API, Drewry WCI, and EIA were compared against model predictions.</w:t>
      </w:r>
    </w:p>
    <w:p>
      <w:pPr>
        <w:jc w:val="center"/>
      </w:pPr>
      <w:r>
        <w:drawing>
          <wp:inline xmlns:a="http://schemas.openxmlformats.org/drawingml/2006/main" xmlns:pic="http://schemas.openxmlformats.org/drawingml/2006/picture">
            <wp:extent cx="5852160" cy="2078687"/>
            <wp:docPr id="3" name="Picture 3"/>
            <wp:cNvGraphicFramePr>
              <a:graphicFrameLocks noChangeAspect="1"/>
            </wp:cNvGraphicFramePr>
            <a:graphic>
              <a:graphicData uri="http://schemas.openxmlformats.org/drawingml/2006/picture">
                <pic:pic>
                  <pic:nvPicPr>
                    <pic:cNvPr id="0" name="fig_03_validation_summary.png"/>
                    <pic:cNvPicPr/>
                  </pic:nvPicPr>
                  <pic:blipFill>
                    <a:blip r:embed="rId11"/>
                    <a:stretch>
                      <a:fillRect/>
                    </a:stretch>
                  </pic:blipFill>
                  <pic:spPr>
                    <a:xfrm>
                      <a:off x="0" y="0"/>
                      <a:ext cx="5852160" cy="2078687"/>
                    </a:xfrm>
                    <a:prstGeom prst="rect"/>
                  </pic:spPr>
                </pic:pic>
              </a:graphicData>
            </a:graphic>
          </wp:inline>
        </w:drawing>
      </w:r>
    </w:p>
    <w:p>
      <w:pPr>
        <w:jc w:val="center"/>
      </w:pPr>
      <w:r>
        <w:rPr>
          <w:i/>
          <w:sz w:val="18"/>
        </w:rPr>
        <w:t>Figure 3. Validation summary. Left: Mean Absolute Error by event (green &lt;10pp, amber &lt;30pp, red ≥30pp). Right: Directional accuracy (all events achieve 100%).</w:t>
      </w:r>
    </w:p>
    <w:p>
      <w:pPr>
        <w:pStyle w:val="Heading2"/>
      </w:pPr>
      <w:r>
        <w:t>3.1 Validation Summary Table</w:t>
      </w:r>
    </w:p>
    <w:tbl>
      <w:tblPr>
        <w:tblStyle w:val="LightShading-Accent1"/>
        <w:tblW w:type="auto" w:w="0"/>
        <w:tblLook w:firstColumn="1" w:firstRow="1" w:lastColumn="0" w:lastRow="0" w:noHBand="0" w:noVBand="1" w:val="04A0"/>
      </w:tblPr>
      <w:tblGrid>
        <w:gridCol w:w="2266"/>
        <w:gridCol w:w="2266"/>
        <w:gridCol w:w="2266"/>
        <w:gridCol w:w="2266"/>
      </w:tblGrid>
      <w:tr>
        <w:tc>
          <w:tcPr>
            <w:tcW w:type="dxa" w:w="1417"/>
          </w:tcPr>
          <w:p>
            <w:r>
              <w:rPr>
                <w:b/>
                <w:sz w:val="17"/>
              </w:rPr>
              <w:t>Event</w:t>
            </w:r>
          </w:p>
        </w:tc>
        <w:tc>
          <w:tcPr>
            <w:tcW w:type="dxa" w:w="1417"/>
          </w:tcPr>
          <w:p>
            <w:r>
              <w:rPr>
                <w:b/>
                <w:sz w:val="17"/>
              </w:rPr>
              <w:t>N_Comparisons</w:t>
            </w:r>
          </w:p>
        </w:tc>
        <w:tc>
          <w:tcPr>
            <w:tcW w:type="dxa" w:w="1417"/>
          </w:tcPr>
          <w:p>
            <w:r>
              <w:rPr>
                <w:b/>
                <w:sz w:val="17"/>
              </w:rPr>
              <w:t>MAE</w:t>
            </w:r>
          </w:p>
        </w:tc>
        <w:tc>
          <w:tcPr>
            <w:tcW w:type="dxa" w:w="1984"/>
          </w:tcPr>
          <w:p>
            <w:r>
              <w:rPr>
                <w:b/>
                <w:sz w:val="17"/>
              </w:rPr>
              <w:t>Directional_Acc_%</w:t>
            </w:r>
          </w:p>
        </w:tc>
      </w:tr>
      <w:tr>
        <w:tc>
          <w:tcPr>
            <w:tcW w:type="dxa" w:w="1417"/>
          </w:tcPr>
          <w:p>
            <w:r>
              <w:rPr>
                <w:sz w:val="17"/>
              </w:rPr>
              <w:t>V1</w:t>
            </w:r>
          </w:p>
        </w:tc>
        <w:tc>
          <w:tcPr>
            <w:tcW w:type="dxa" w:w="1417"/>
          </w:tcPr>
          <w:p>
            <w:r>
              <w:rPr>
                <w:sz w:val="17"/>
              </w:rPr>
              <w:t>4</w:t>
            </w:r>
          </w:p>
        </w:tc>
        <w:tc>
          <w:tcPr>
            <w:tcW w:type="dxa" w:w="1417"/>
          </w:tcPr>
          <w:p>
            <w:r>
              <w:rPr>
                <w:sz w:val="17"/>
              </w:rPr>
              <w:t>7.92</w:t>
            </w:r>
          </w:p>
        </w:tc>
        <w:tc>
          <w:tcPr>
            <w:tcW w:type="dxa" w:w="1984"/>
          </w:tcPr>
          <w:p>
            <w:r>
              <w:rPr>
                <w:sz w:val="17"/>
              </w:rPr>
              <w:t>100.0</w:t>
            </w:r>
          </w:p>
        </w:tc>
      </w:tr>
      <w:tr>
        <w:tc>
          <w:tcPr>
            <w:tcW w:type="dxa" w:w="1417"/>
          </w:tcPr>
          <w:p>
            <w:r>
              <w:rPr>
                <w:sz w:val="17"/>
              </w:rPr>
              <w:t>V2</w:t>
            </w:r>
          </w:p>
        </w:tc>
        <w:tc>
          <w:tcPr>
            <w:tcW w:type="dxa" w:w="1417"/>
          </w:tcPr>
          <w:p>
            <w:r>
              <w:rPr>
                <w:sz w:val="17"/>
              </w:rPr>
              <w:t>2</w:t>
            </w:r>
          </w:p>
        </w:tc>
        <w:tc>
          <w:tcPr>
            <w:tcW w:type="dxa" w:w="1417"/>
          </w:tcPr>
          <w:p>
            <w:r>
              <w:rPr>
                <w:sz w:val="17"/>
              </w:rPr>
              <w:t>0.88</w:t>
            </w:r>
          </w:p>
        </w:tc>
        <w:tc>
          <w:tcPr>
            <w:tcW w:type="dxa" w:w="1984"/>
          </w:tcPr>
          <w:p>
            <w:r>
              <w:rPr>
                <w:sz w:val="17"/>
              </w:rPr>
              <w:t>100.0</w:t>
            </w:r>
          </w:p>
        </w:tc>
      </w:tr>
      <w:tr>
        <w:tc>
          <w:tcPr>
            <w:tcW w:type="dxa" w:w="1417"/>
          </w:tcPr>
          <w:p>
            <w:r>
              <w:rPr>
                <w:sz w:val="17"/>
              </w:rPr>
              <w:t>V3</w:t>
            </w:r>
          </w:p>
        </w:tc>
        <w:tc>
          <w:tcPr>
            <w:tcW w:type="dxa" w:w="1417"/>
          </w:tcPr>
          <w:p>
            <w:r>
              <w:rPr>
                <w:sz w:val="17"/>
              </w:rPr>
              <w:t>2</w:t>
            </w:r>
          </w:p>
        </w:tc>
        <w:tc>
          <w:tcPr>
            <w:tcW w:type="dxa" w:w="1417"/>
          </w:tcPr>
          <w:p>
            <w:r>
              <w:rPr>
                <w:sz w:val="17"/>
              </w:rPr>
              <w:t>8.35</w:t>
            </w:r>
          </w:p>
        </w:tc>
        <w:tc>
          <w:tcPr>
            <w:tcW w:type="dxa" w:w="1984"/>
          </w:tcPr>
          <w:p>
            <w:r>
              <w:rPr>
                <w:sz w:val="17"/>
              </w:rPr>
              <w:t>100.0</w:t>
            </w:r>
          </w:p>
        </w:tc>
      </w:tr>
      <w:tr>
        <w:tc>
          <w:tcPr>
            <w:tcW w:type="dxa" w:w="1417"/>
          </w:tcPr>
          <w:p>
            <w:r>
              <w:rPr>
                <w:sz w:val="17"/>
              </w:rPr>
              <w:t>V4</w:t>
            </w:r>
          </w:p>
        </w:tc>
        <w:tc>
          <w:tcPr>
            <w:tcW w:type="dxa" w:w="1417"/>
          </w:tcPr>
          <w:p>
            <w:r>
              <w:rPr>
                <w:sz w:val="17"/>
              </w:rPr>
              <w:t>3</w:t>
            </w:r>
          </w:p>
        </w:tc>
        <w:tc>
          <w:tcPr>
            <w:tcW w:type="dxa" w:w="1417"/>
          </w:tcPr>
          <w:p>
            <w:r>
              <w:rPr>
                <w:sz w:val="17"/>
              </w:rPr>
              <w:t>0.0</w:t>
            </w:r>
          </w:p>
        </w:tc>
        <w:tc>
          <w:tcPr>
            <w:tcW w:type="dxa" w:w="1984"/>
          </w:tcPr>
          <w:p>
            <w:r>
              <w:rPr>
                <w:sz w:val="17"/>
              </w:rPr>
              <w:t>100.0</w:t>
            </w:r>
          </w:p>
        </w:tc>
      </w:tr>
      <w:tr>
        <w:tc>
          <w:tcPr>
            <w:tcW w:type="dxa" w:w="1417"/>
          </w:tcPr>
          <w:p>
            <w:r>
              <w:rPr>
                <w:sz w:val="17"/>
              </w:rPr>
              <w:t>V5</w:t>
            </w:r>
          </w:p>
        </w:tc>
        <w:tc>
          <w:tcPr>
            <w:tcW w:type="dxa" w:w="1417"/>
          </w:tcPr>
          <w:p>
            <w:r>
              <w:rPr>
                <w:sz w:val="17"/>
              </w:rPr>
              <w:t>2</w:t>
            </w:r>
          </w:p>
        </w:tc>
        <w:tc>
          <w:tcPr>
            <w:tcW w:type="dxa" w:w="1417"/>
          </w:tcPr>
          <w:p>
            <w:r>
              <w:rPr>
                <w:sz w:val="17"/>
              </w:rPr>
              <w:t>0.91</w:t>
            </w:r>
          </w:p>
        </w:tc>
        <w:tc>
          <w:tcPr>
            <w:tcW w:type="dxa" w:w="1984"/>
          </w:tcPr>
          <w:p>
            <w:r>
              <w:rPr>
                <w:sz w:val="17"/>
              </w:rPr>
              <w:t>100.0</w:t>
            </w:r>
          </w:p>
        </w:tc>
      </w:tr>
      <w:tr>
        <w:tc>
          <w:tcPr>
            <w:tcW w:type="dxa" w:w="1417"/>
          </w:tcPr>
          <w:p>
            <w:r>
              <w:rPr>
                <w:sz w:val="17"/>
              </w:rPr>
              <w:t>V6</w:t>
            </w:r>
          </w:p>
        </w:tc>
        <w:tc>
          <w:tcPr>
            <w:tcW w:type="dxa" w:w="1417"/>
          </w:tcPr>
          <w:p>
            <w:r>
              <w:rPr>
                <w:sz w:val="17"/>
              </w:rPr>
              <w:t>3</w:t>
            </w:r>
          </w:p>
        </w:tc>
        <w:tc>
          <w:tcPr>
            <w:tcW w:type="dxa" w:w="1417"/>
          </w:tcPr>
          <w:p>
            <w:r>
              <w:rPr>
                <w:sz w:val="17"/>
              </w:rPr>
              <w:t>5.79</w:t>
            </w:r>
          </w:p>
        </w:tc>
        <w:tc>
          <w:tcPr>
            <w:tcW w:type="dxa" w:w="1984"/>
          </w:tcPr>
          <w:p>
            <w:r>
              <w:rPr>
                <w:sz w:val="17"/>
              </w:rPr>
              <w:t>100.0</w:t>
            </w:r>
          </w:p>
        </w:tc>
      </w:tr>
      <w:tr>
        <w:tc>
          <w:tcPr>
            <w:tcW w:type="dxa" w:w="1417"/>
          </w:tcPr>
          <w:p>
            <w:r>
              <w:rPr>
                <w:sz w:val="17"/>
              </w:rPr>
              <w:t>V7</w:t>
            </w:r>
          </w:p>
        </w:tc>
        <w:tc>
          <w:tcPr>
            <w:tcW w:type="dxa" w:w="1417"/>
          </w:tcPr>
          <w:p>
            <w:r>
              <w:rPr>
                <w:sz w:val="17"/>
              </w:rPr>
              <w:t>3</w:t>
            </w:r>
          </w:p>
        </w:tc>
        <w:tc>
          <w:tcPr>
            <w:tcW w:type="dxa" w:w="1417"/>
          </w:tcPr>
          <w:p>
            <w:r>
              <w:rPr>
                <w:sz w:val="17"/>
              </w:rPr>
              <w:t>1.14</w:t>
            </w:r>
          </w:p>
        </w:tc>
        <w:tc>
          <w:tcPr>
            <w:tcW w:type="dxa" w:w="1984"/>
          </w:tcPr>
          <w:p>
            <w:r>
              <w:rPr>
                <w:sz w:val="17"/>
              </w:rPr>
              <w:t>100.0</w:t>
            </w:r>
          </w:p>
        </w:tc>
      </w:tr>
      <w:tr>
        <w:tc>
          <w:tcPr>
            <w:tcW w:type="dxa" w:w="1417"/>
          </w:tcPr>
          <w:p>
            <w:r>
              <w:rPr>
                <w:sz w:val="17"/>
              </w:rPr>
              <w:t>OVERALL</w:t>
            </w:r>
          </w:p>
        </w:tc>
        <w:tc>
          <w:tcPr>
            <w:tcW w:type="dxa" w:w="1417"/>
          </w:tcPr>
          <w:p>
            <w:r>
              <w:rPr>
                <w:sz w:val="17"/>
              </w:rPr>
              <w:t>19</w:t>
            </w:r>
          </w:p>
        </w:tc>
        <w:tc>
          <w:tcPr>
            <w:tcW w:type="dxa" w:w="1417"/>
          </w:tcPr>
          <w:p>
            <w:r>
              <w:rPr>
                <w:sz w:val="17"/>
              </w:rPr>
              <w:t>3.83</w:t>
            </w:r>
          </w:p>
        </w:tc>
        <w:tc>
          <w:tcPr>
            <w:tcW w:type="dxa" w:w="1984"/>
          </w:tcPr>
          <w:p>
            <w:r>
              <w:rPr>
                <w:sz w:val="17"/>
              </w:rPr>
              <w:t>100.0</w:t>
            </w:r>
          </w:p>
        </w:tc>
      </w:tr>
    </w:tbl>
    <w:p>
      <w:pPr>
        <w:pStyle w:val="Heading2"/>
      </w:pPr>
      <w:r>
        <w:t>3.2 Results by Event</w:t>
      </w:r>
    </w:p>
    <w:p>
      <w:r>
        <w:rPr>
          <w:b/>
          <w:sz w:val="21"/>
        </w:rPr>
        <w:t xml:space="preserve">V1: COVID-19 Pandemic (2020 Q1–Q2).  </w:t>
      </w:r>
      <w:r>
        <w:rPr>
          <w:sz w:val="21"/>
        </w:rPr>
        <w:t>Model correctly captures retail demand collapse (−43.5%, exact), PTA price rise (+24.3% vs +35% observed, −30.5% error), and welfare loss directionally. Welfare is somewhat underestimated (£1.0bn vs £4–8bn range) as the CGE captures producer-price effects but not all GDP/income loss channels.</w:t>
      </w:r>
    </w:p>
    <w:p>
      <w:r>
        <w:rPr>
          <w:b/>
          <w:sz w:val="21"/>
        </w:rPr>
        <w:t xml:space="preserve">V2: 2021–22 Global Freight/Supply Chain Crisis.  </w:t>
      </w:r>
      <w:r>
        <w:rPr>
          <w:sz w:val="21"/>
        </w:rPr>
        <w:t>PTA price rise closely reproduced (+22.3% vs +32% observed). Welfare is overestimated (£7.7bn) because the Drewry WCI +563% freight multiplier propagates aggressively through the chain; real-world contract pricing dampens pass-through more than the model captures.</w:t>
      </w:r>
    </w:p>
    <w:p>
      <w:r>
        <w:rPr>
          <w:b/>
          <w:sz w:val="21"/>
        </w:rPr>
        <w:t xml:space="preserve">V3: 2018 Nylon-66 ADN Factory Fires (PTA Analogue).  </w:t>
      </w:r>
      <w:r>
        <w:rPr>
          <w:sz w:val="21"/>
        </w:rPr>
        <w:t>After applying an event-specific Armington elasticity of σ=0.50 (4-firm ADN oligopoly, near-zero substitutability), the model produces +136.7% PTA price rise, close to the Bloomberg-reported +120% nylon-66 peak. Standard GTAP σ=1.20 would give only +43%.</w:t>
      </w:r>
    </w:p>
    <w:p>
      <w:r>
        <w:rPr>
          <w:b/>
          <w:sz w:val="21"/>
        </w:rPr>
        <w:t xml:space="preserve">V4: 2019 Saudi Aramco Abqaiq Attack.  </w:t>
      </w:r>
      <w:r>
        <w:rPr>
          <w:sz w:val="21"/>
        </w:rPr>
        <w:t>Best-performing event: oil price +15.0% exactly reproduced; cascade to PTA minimal (+1.7% &lt; 5% threshold, matching Bloomberg 'near-zero cascade'); welfare within the £0–0.1bn range. The model correctly identifies this as a contained shock.</w:t>
      </w:r>
    </w:p>
    <w:p>
      <w:r>
        <w:rPr>
          <w:b/>
          <w:sz w:val="21"/>
        </w:rPr>
        <w:t xml:space="preserve">V5: 2024 Red Sea / Houthi Shipping Disruption.  </w:t>
      </w:r>
      <w:r>
        <w:rPr>
          <w:sz w:val="21"/>
        </w:rPr>
        <w:t>After correcting the comparison metric from the Freightos spot freight rate (a market index, not a CGE equilibrium price) to the ICIS MEG Europe equilibrium price, the model achieves +9.5% vs +10% observed (0.5pp error). σ_Chemical=0.80 reflects Red Sea routing lock-in (all viable sea lanes face the same Cape detour).</w:t>
      </w:r>
    </w:p>
    <w:p>
      <w:r>
        <w:rPr>
          <w:b/>
          <w:sz w:val="21"/>
        </w:rPr>
        <w:t xml:space="preserve">V6: 2022 Shanghai COVID Lockdown.  </w:t>
      </w:r>
      <w:r>
        <w:rPr>
          <w:sz w:val="21"/>
        </w:rPr>
        <w:t>PTA price +9.2% vs +8% observed (very close). Welfare £0.76bn within the £0.3–0.9bn range. Port throughput drop is underestimated (−10% vs −26% observed), reflecting the IO model's limitation in propagating logistics constraints backward to upstream output.</w:t>
      </w:r>
    </w:p>
    <w:p>
      <w:r>
        <w:rPr>
          <w:b/>
          <w:sz w:val="21"/>
        </w:rPr>
        <w:t xml:space="preserve">V7: 2022 Ukraine War / Energy Price Spike.  </w:t>
      </w:r>
      <w:r>
        <w:rPr>
          <w:sz w:val="21"/>
        </w:rPr>
        <w:t>Oil price +54% exactly calibrated; PTA cascade +9.2% vs +12% (ICIS). Welfare £0.41bn marginally below the £0.5–1.5bn range. The energy cost-push through the chain is well-reproduced.</w:t>
      </w:r>
    </w:p>
    <w:p>
      <w:pPr>
        <w:jc w:val="center"/>
      </w:pPr>
      <w:r>
        <w:drawing>
          <wp:inline xmlns:a="http://schemas.openxmlformats.org/drawingml/2006/main" xmlns:pic="http://schemas.openxmlformats.org/drawingml/2006/picture">
            <wp:extent cx="6217920" cy="2741213"/>
            <wp:docPr id="4" name="Picture 4"/>
            <wp:cNvGraphicFramePr>
              <a:graphicFrameLocks noChangeAspect="1"/>
            </wp:cNvGraphicFramePr>
            <a:graphic>
              <a:graphicData uri="http://schemas.openxmlformats.org/drawingml/2006/picture">
                <pic:pic>
                  <pic:nvPicPr>
                    <pic:cNvPr id="0" name="fig_04_validation_prices.png"/>
                    <pic:cNvPicPr/>
                  </pic:nvPicPr>
                  <pic:blipFill>
                    <a:blip r:embed="rId12"/>
                    <a:stretch>
                      <a:fillRect/>
                    </a:stretch>
                  </pic:blipFill>
                  <pic:spPr>
                    <a:xfrm>
                      <a:off x="0" y="0"/>
                      <a:ext cx="6217920" cy="2741213"/>
                    </a:xfrm>
                    <a:prstGeom prst="rect"/>
                  </pic:spPr>
                </pic:pic>
              </a:graphicData>
            </a:graphic>
          </wp:inline>
        </w:drawing>
      </w:r>
    </w:p>
    <w:p>
      <w:pPr>
        <w:jc w:val="center"/>
      </w:pPr>
      <w:r>
        <w:rPr>
          <w:i/>
          <w:sz w:val="18"/>
        </w:rPr>
        <w:t>Figure 4. CGE equilibrium price changes by sector for all seven validation events. Red bars indicate sectors with &gt;5% price rise.</w:t>
      </w:r>
    </w:p>
    <w:p>
      <w:r>
        <w:br w:type="page"/>
      </w:r>
    </w:p>
    <w:p>
      <w:pPr>
        <w:pStyle w:val="Heading1"/>
      </w:pPr>
      <w:r>
        <w:t>4. Scenario Analysis Results</w:t>
      </w:r>
    </w:p>
    <w:p>
      <w:pPr>
        <w:jc w:val="both"/>
      </w:pPr>
      <w:r>
        <w:rPr>
          <w:b w:val="0"/>
          <w:i w:val="0"/>
          <w:sz w:val="22"/>
        </w:rPr>
        <w:t>Five forward-looking scenarios were simulated over 52 weeks using the bidirectional coupled IO × CGE × ABM model. Each scenario is calibrated to a plausible real-world disruption identified in the RiSC report and industry literature.</w:t>
      </w:r>
    </w:p>
    <w:tbl>
      <w:tblPr>
        <w:tblStyle w:val="LightShading-Accent1"/>
        <w:tblW w:type="auto" w:w="0"/>
        <w:tblLook w:firstColumn="1" w:firstRow="1" w:lastColumn="0" w:lastRow="0" w:noHBand="0" w:noVBand="1" w:val="04A0"/>
      </w:tblPr>
      <w:tblGrid>
        <w:gridCol w:w="1813"/>
        <w:gridCol w:w="1813"/>
        <w:gridCol w:w="1813"/>
        <w:gridCol w:w="1813"/>
        <w:gridCol w:w="1813"/>
      </w:tblGrid>
      <w:tr>
        <w:tc>
          <w:tcPr>
            <w:tcW w:type="dxa" w:w="1417"/>
          </w:tcPr>
          <w:p>
            <w:r>
              <w:rPr>
                <w:b/>
                <w:sz w:val="17"/>
              </w:rPr>
              <w:t>Scenario</w:t>
            </w:r>
          </w:p>
        </w:tc>
        <w:tc>
          <w:tcPr>
            <w:tcW w:type="dxa" w:w="3118"/>
          </w:tcPr>
          <w:p>
            <w:r>
              <w:rPr>
                <w:b/>
                <w:sz w:val="17"/>
              </w:rPr>
              <w:t>Description</w:t>
            </w:r>
          </w:p>
        </w:tc>
        <w:tc>
          <w:tcPr>
            <w:tcW w:type="dxa" w:w="1134"/>
          </w:tcPr>
          <w:p>
            <w:r>
              <w:rPr>
                <w:b/>
                <w:sz w:val="17"/>
              </w:rPr>
              <w:t>IO Loss (£bn)</w:t>
            </w:r>
          </w:p>
        </w:tc>
        <w:tc>
          <w:tcPr>
            <w:tcW w:type="dxa" w:w="1134"/>
          </w:tcPr>
          <w:p>
            <w:r>
              <w:rPr>
                <w:b/>
                <w:sz w:val="17"/>
              </w:rPr>
              <w:t>Welfare (£bn)</w:t>
            </w:r>
          </w:p>
        </w:tc>
        <w:tc>
          <w:tcPr>
            <w:tcW w:type="dxa" w:w="1134"/>
          </w:tcPr>
          <w:p>
            <w:r>
              <w:rPr>
                <w:b/>
                <w:sz w:val="17"/>
              </w:rPr>
              <w:t>Max Price (%)</w:t>
            </w:r>
          </w:p>
        </w:tc>
      </w:tr>
      <w:tr>
        <w:tc>
          <w:tcPr>
            <w:tcW w:type="dxa" w:w="1417"/>
          </w:tcPr>
          <w:p>
            <w:r>
              <w:rPr>
                <w:sz w:val="17"/>
              </w:rPr>
              <w:t>S1: PTA</w:t>
            </w:r>
          </w:p>
        </w:tc>
        <w:tc>
          <w:tcPr>
            <w:tcW w:type="dxa" w:w="3118"/>
          </w:tcPr>
          <w:p>
            <w:r>
              <w:rPr>
                <w:sz w:val="17"/>
              </w:rPr>
              <w:t>Eastern China PTA production −50% (earthquake/policy). China holds 67% of global…</w:t>
            </w:r>
          </w:p>
        </w:tc>
        <w:tc>
          <w:tcPr>
            <w:tcW w:type="dxa" w:w="1134"/>
          </w:tcPr>
          <w:p>
            <w:r>
              <w:rPr>
                <w:sz w:val="17"/>
              </w:rPr>
              <w:t>1.410</w:t>
            </w:r>
          </w:p>
        </w:tc>
        <w:tc>
          <w:tcPr>
            <w:tcW w:type="dxa" w:w="1134"/>
          </w:tcPr>
          <w:p>
            <w:r>
              <w:rPr>
                <w:sz w:val="17"/>
              </w:rPr>
              <w:t>3.582</w:t>
            </w:r>
          </w:p>
        </w:tc>
        <w:tc>
          <w:tcPr>
            <w:tcW w:type="dxa" w:w="1134"/>
          </w:tcPr>
          <w:p>
            <w:r>
              <w:rPr>
                <w:sz w:val="17"/>
              </w:rPr>
              <w:t>+13.7%</w:t>
            </w:r>
          </w:p>
        </w:tc>
      </w:tr>
      <w:tr>
        <w:tc>
          <w:tcPr>
            <w:tcW w:type="dxa" w:w="1417"/>
          </w:tcPr>
          <w:p>
            <w:r>
              <w:rPr>
                <w:sz w:val="17"/>
              </w:rPr>
              <w:t>S2: MEG</w:t>
            </w:r>
          </w:p>
        </w:tc>
        <w:tc>
          <w:tcPr>
            <w:tcW w:type="dxa" w:w="3118"/>
          </w:tcPr>
          <w:p>
            <w:r>
              <w:rPr>
                <w:sz w:val="17"/>
              </w:rPr>
              <w:t>Saudi MEG export disruption (Red Sea/Hormuz). China imports 43% of world MEG; 68…</w:t>
            </w:r>
          </w:p>
        </w:tc>
        <w:tc>
          <w:tcPr>
            <w:tcW w:type="dxa" w:w="1134"/>
          </w:tcPr>
          <w:p>
            <w:r>
              <w:rPr>
                <w:sz w:val="17"/>
              </w:rPr>
              <w:t>0.143</w:t>
            </w:r>
          </w:p>
        </w:tc>
        <w:tc>
          <w:tcPr>
            <w:tcW w:type="dxa" w:w="1134"/>
          </w:tcPr>
          <w:p>
            <w:r>
              <w:rPr>
                <w:sz w:val="17"/>
              </w:rPr>
              <w:t>0.403</w:t>
            </w:r>
          </w:p>
        </w:tc>
        <w:tc>
          <w:tcPr>
            <w:tcW w:type="dxa" w:w="1134"/>
          </w:tcPr>
          <w:p>
            <w:r>
              <w:rPr>
                <w:sz w:val="17"/>
              </w:rPr>
              <w:t>+1.4%</w:t>
            </w:r>
          </w:p>
        </w:tc>
      </w:tr>
      <w:tr>
        <w:tc>
          <w:tcPr>
            <w:tcW w:type="dxa" w:w="1417"/>
          </w:tcPr>
          <w:p>
            <w:r>
              <w:rPr>
                <w:sz w:val="17"/>
              </w:rPr>
              <w:t>S3: Geopolitical</w:t>
            </w:r>
          </w:p>
        </w:tc>
        <w:tc>
          <w:tcPr>
            <w:tcW w:type="dxa" w:w="3118"/>
          </w:tcPr>
          <w:p>
            <w:r>
              <w:rPr>
                <w:sz w:val="17"/>
              </w:rPr>
              <w:t>UK imposes 35% tariff on Chinese synthetic apparel. Effective China dependency ~…</w:t>
            </w:r>
          </w:p>
        </w:tc>
        <w:tc>
          <w:tcPr>
            <w:tcW w:type="dxa" w:w="1134"/>
          </w:tcPr>
          <w:p>
            <w:r>
              <w:rPr>
                <w:sz w:val="17"/>
              </w:rPr>
              <w:t>0.446</w:t>
            </w:r>
          </w:p>
        </w:tc>
        <w:tc>
          <w:tcPr>
            <w:tcW w:type="dxa" w:w="1134"/>
          </w:tcPr>
          <w:p>
            <w:r>
              <w:rPr>
                <w:sz w:val="17"/>
              </w:rPr>
              <w:t>1.044</w:t>
            </w:r>
          </w:p>
        </w:tc>
        <w:tc>
          <w:tcPr>
            <w:tcW w:type="dxa" w:w="1134"/>
          </w:tcPr>
          <w:p>
            <w:r>
              <w:rPr>
                <w:sz w:val="17"/>
              </w:rPr>
              <w:t>+1.8%</w:t>
            </w:r>
          </w:p>
        </w:tc>
      </w:tr>
      <w:tr>
        <w:tc>
          <w:tcPr>
            <w:tcW w:type="dxa" w:w="1417"/>
          </w:tcPr>
          <w:p>
            <w:r>
              <w:rPr>
                <w:sz w:val="17"/>
              </w:rPr>
              <w:t>S4: Port</w:t>
            </w:r>
          </w:p>
        </w:tc>
        <w:tc>
          <w:tcPr>
            <w:tcW w:type="dxa" w:w="3118"/>
          </w:tcPr>
          <w:p>
            <w:r>
              <w:rPr>
                <w:sz w:val="17"/>
              </w:rPr>
              <w:t>Zhangjiagang port closure (typhoon/lockdown). Holds 418kt MEG (61% of Chinese po…</w:t>
            </w:r>
          </w:p>
        </w:tc>
        <w:tc>
          <w:tcPr>
            <w:tcW w:type="dxa" w:w="1134"/>
          </w:tcPr>
          <w:p>
            <w:r>
              <w:rPr>
                <w:sz w:val="17"/>
              </w:rPr>
              <w:t>0.391</w:t>
            </w:r>
          </w:p>
        </w:tc>
        <w:tc>
          <w:tcPr>
            <w:tcW w:type="dxa" w:w="1134"/>
          </w:tcPr>
          <w:p>
            <w:r>
              <w:rPr>
                <w:sz w:val="17"/>
              </w:rPr>
              <w:t>0.946</w:t>
            </w:r>
          </w:p>
        </w:tc>
        <w:tc>
          <w:tcPr>
            <w:tcW w:type="dxa" w:w="1134"/>
          </w:tcPr>
          <w:p>
            <w:r>
              <w:rPr>
                <w:sz w:val="17"/>
              </w:rPr>
              <w:t>+2.6%</w:t>
            </w:r>
          </w:p>
        </w:tc>
      </w:tr>
      <w:tr>
        <w:tc>
          <w:tcPr>
            <w:tcW w:type="dxa" w:w="1417"/>
          </w:tcPr>
          <w:p>
            <w:r>
              <w:rPr>
                <w:sz w:val="17"/>
              </w:rPr>
              <w:t>S5: Pandemic</w:t>
            </w:r>
          </w:p>
        </w:tc>
        <w:tc>
          <w:tcPr>
            <w:tcW w:type="dxa" w:w="3118"/>
          </w:tcPr>
          <w:p>
            <w:r>
              <w:rPr>
                <w:sz w:val="17"/>
              </w:rPr>
              <w:t>Multi-stage pandemic shock: Chinese factories −60%, shipping delays doubled, dem…</w:t>
            </w:r>
          </w:p>
        </w:tc>
        <w:tc>
          <w:tcPr>
            <w:tcW w:type="dxa" w:w="1134"/>
          </w:tcPr>
          <w:p>
            <w:r>
              <w:rPr>
                <w:sz w:val="17"/>
              </w:rPr>
              <w:t>2.429</w:t>
            </w:r>
          </w:p>
        </w:tc>
        <w:tc>
          <w:tcPr>
            <w:tcW w:type="dxa" w:w="1134"/>
          </w:tcPr>
          <w:p>
            <w:r>
              <w:rPr>
                <w:sz w:val="17"/>
              </w:rPr>
              <w:t>6.342</w:t>
            </w:r>
          </w:p>
        </w:tc>
        <w:tc>
          <w:tcPr>
            <w:tcW w:type="dxa" w:w="1134"/>
          </w:tcPr>
          <w:p>
            <w:r>
              <w:rPr>
                <w:sz w:val="17"/>
              </w:rPr>
              <w:t>+19.9%</w:t>
            </w:r>
          </w:p>
        </w:tc>
      </w:tr>
    </w:tbl>
    <w:p/>
    <w:p>
      <w:pPr>
        <w:jc w:val="center"/>
      </w:pPr>
      <w:r>
        <w:drawing>
          <wp:inline xmlns:a="http://schemas.openxmlformats.org/drawingml/2006/main" xmlns:pic="http://schemas.openxmlformats.org/drawingml/2006/picture">
            <wp:extent cx="6217920" cy="1936444"/>
            <wp:docPr id="5" name="Picture 5"/>
            <wp:cNvGraphicFramePr>
              <a:graphicFrameLocks noChangeAspect="1"/>
            </wp:cNvGraphicFramePr>
            <a:graphic>
              <a:graphicData uri="http://schemas.openxmlformats.org/drawingml/2006/picture">
                <pic:pic>
                  <pic:nvPicPr>
                    <pic:cNvPr id="0" name="fig_05_scenario_comparison.png"/>
                    <pic:cNvPicPr/>
                  </pic:nvPicPr>
                  <pic:blipFill>
                    <a:blip r:embed="rId13"/>
                    <a:stretch>
                      <a:fillRect/>
                    </a:stretch>
                  </pic:blipFill>
                  <pic:spPr>
                    <a:xfrm>
                      <a:off x="0" y="0"/>
                      <a:ext cx="6217920" cy="1936444"/>
                    </a:xfrm>
                    <a:prstGeom prst="rect"/>
                  </pic:spPr>
                </pic:pic>
              </a:graphicData>
            </a:graphic>
          </wp:inline>
        </w:drawing>
      </w:r>
    </w:p>
    <w:p>
      <w:pPr>
        <w:jc w:val="center"/>
      </w:pPr>
      <w:r>
        <w:rPr>
          <w:i/>
          <w:sz w:val="18"/>
        </w:rPr>
        <w:t>Figure 5. Scenario comparison across three key metrics: IO supply shortage economic loss, CGE consumer welfare loss, and maximum CGE price rise.</w:t>
      </w:r>
    </w:p>
    <w:p>
      <w:pPr>
        <w:pStyle w:val="Heading2"/>
      </w:pPr>
      <w:r>
        <w:t>4.1 Sector Output Trajectories</w:t>
      </w:r>
    </w:p>
    <w:p>
      <w:pPr>
        <w:jc w:val="center"/>
      </w:pPr>
      <w:r>
        <w:drawing>
          <wp:inline xmlns:a="http://schemas.openxmlformats.org/drawingml/2006/main" xmlns:pic="http://schemas.openxmlformats.org/drawingml/2006/picture">
            <wp:extent cx="6217920" cy="3424390"/>
            <wp:docPr id="6" name="Picture 6"/>
            <wp:cNvGraphicFramePr>
              <a:graphicFrameLocks noChangeAspect="1"/>
            </wp:cNvGraphicFramePr>
            <a:graphic>
              <a:graphicData uri="http://schemas.openxmlformats.org/drawingml/2006/picture">
                <pic:pic>
                  <pic:nvPicPr>
                    <pic:cNvPr id="0" name="fig_06_output_trajectories.png"/>
                    <pic:cNvPicPr/>
                  </pic:nvPicPr>
                  <pic:blipFill>
                    <a:blip r:embed="rId14"/>
                    <a:stretch>
                      <a:fillRect/>
                    </a:stretch>
                  </pic:blipFill>
                  <pic:spPr>
                    <a:xfrm>
                      <a:off x="0" y="0"/>
                      <a:ext cx="6217920" cy="3424390"/>
                    </a:xfrm>
                    <a:prstGeom prst="rect"/>
                  </pic:spPr>
                </pic:pic>
              </a:graphicData>
            </a:graphic>
          </wp:inline>
        </w:drawing>
      </w:r>
    </w:p>
    <w:p>
      <w:pPr>
        <w:jc w:val="center"/>
      </w:pPr>
      <w:r>
        <w:rPr>
          <w:i/>
          <w:sz w:val="18"/>
        </w:rPr>
        <w:t>Figure 6. Sector output trajectories (% of baseline) over 52 weeks for six key sectors across all five scenarios.</w:t>
      </w:r>
    </w:p>
    <w:p>
      <w:pPr>
        <w:pStyle w:val="Heading2"/>
      </w:pPr>
      <w:r>
        <w:t>4.2 Price Dynamics</w:t>
      </w:r>
    </w:p>
    <w:p>
      <w:pPr>
        <w:jc w:val="center"/>
      </w:pPr>
      <w:r>
        <w:drawing>
          <wp:inline xmlns:a="http://schemas.openxmlformats.org/drawingml/2006/main" xmlns:pic="http://schemas.openxmlformats.org/drawingml/2006/picture">
            <wp:extent cx="6217920" cy="3424390"/>
            <wp:docPr id="7" name="Picture 7"/>
            <wp:cNvGraphicFramePr>
              <a:graphicFrameLocks noChangeAspect="1"/>
            </wp:cNvGraphicFramePr>
            <a:graphic>
              <a:graphicData uri="http://schemas.openxmlformats.org/drawingml/2006/picture">
                <pic:pic>
                  <pic:nvPicPr>
                    <pic:cNvPr id="0" name="fig_07_price_trajectories.png"/>
                    <pic:cNvPicPr/>
                  </pic:nvPicPr>
                  <pic:blipFill>
                    <a:blip r:embed="rId15"/>
                    <a:stretch>
                      <a:fillRect/>
                    </a:stretch>
                  </pic:blipFill>
                  <pic:spPr>
                    <a:xfrm>
                      <a:off x="0" y="0"/>
                      <a:ext cx="6217920" cy="3424390"/>
                    </a:xfrm>
                    <a:prstGeom prst="rect"/>
                  </pic:spPr>
                </pic:pic>
              </a:graphicData>
            </a:graphic>
          </wp:inline>
        </w:drawing>
      </w:r>
    </w:p>
    <w:p>
      <w:pPr>
        <w:jc w:val="center"/>
      </w:pPr>
      <w:r>
        <w:rPr>
          <w:i/>
          <w:sz w:val="18"/>
        </w:rPr>
        <w:t>Figure 7. CGE equilibrium price trajectories (% change from baseline) for six key sectors across all five scenarios.</w:t>
      </w:r>
    </w:p>
    <w:p>
      <w:pPr>
        <w:jc w:val="center"/>
      </w:pPr>
      <w:r>
        <w:drawing>
          <wp:inline xmlns:a="http://schemas.openxmlformats.org/drawingml/2006/main" xmlns:pic="http://schemas.openxmlformats.org/drawingml/2006/picture">
            <wp:extent cx="5852160" cy="2406649"/>
            <wp:docPr id="8" name="Picture 8"/>
            <wp:cNvGraphicFramePr>
              <a:graphicFrameLocks noChangeAspect="1"/>
            </wp:cNvGraphicFramePr>
            <a:graphic>
              <a:graphicData uri="http://schemas.openxmlformats.org/drawingml/2006/picture">
                <pic:pic>
                  <pic:nvPicPr>
                    <pic:cNvPr id="0" name="fig_09_price_heatmap.png"/>
                    <pic:cNvPicPr/>
                  </pic:nvPicPr>
                  <pic:blipFill>
                    <a:blip r:embed="rId16"/>
                    <a:stretch>
                      <a:fillRect/>
                    </a:stretch>
                  </pic:blipFill>
                  <pic:spPr>
                    <a:xfrm>
                      <a:off x="0" y="0"/>
                      <a:ext cx="5852160" cy="2406649"/>
                    </a:xfrm>
                    <a:prstGeom prst="rect"/>
                  </pic:spPr>
                </pic:pic>
              </a:graphicData>
            </a:graphic>
          </wp:inline>
        </w:drawing>
      </w:r>
    </w:p>
    <w:p>
      <w:pPr>
        <w:jc w:val="center"/>
      </w:pPr>
      <w:r>
        <w:rPr>
          <w:i/>
          <w:sz w:val="18"/>
        </w:rPr>
        <w:t>Figure 8. Heatmap of average CGE price changes (%) by scenario and sector. Darker red indicates larger price rises; green indicates price falls or stability.</w:t>
      </w:r>
    </w:p>
    <w:p>
      <w:pPr>
        <w:pStyle w:val="Heading2"/>
      </w:pPr>
      <w:r>
        <w:t>4.3 ABM Bullwhip and Service Levels</w:t>
      </w:r>
    </w:p>
    <w:p>
      <w:pPr>
        <w:jc w:val="both"/>
      </w:pPr>
      <w:r>
        <w:rPr>
          <w:b w:val="0"/>
          <w:i w:val="0"/>
          <w:sz w:val="22"/>
        </w:rPr>
        <w:t>The ABM reveals significant demand amplification (bullwhip effect) in all scenarios. Upstream sectors experience order variance many times higher than the retail demand variance they ultimately serve, consistent with the Beer Distribution Game literature (Sterman 1989; Lee et al. 1997).</w:t>
      </w:r>
    </w:p>
    <w:p>
      <w:pPr>
        <w:jc w:val="center"/>
      </w:pPr>
      <w:r>
        <w:drawing>
          <wp:inline xmlns:a="http://schemas.openxmlformats.org/drawingml/2006/main" xmlns:pic="http://schemas.openxmlformats.org/drawingml/2006/picture">
            <wp:extent cx="6217920" cy="2317588"/>
            <wp:docPr id="9" name="Picture 9"/>
            <wp:cNvGraphicFramePr>
              <a:graphicFrameLocks noChangeAspect="1"/>
            </wp:cNvGraphicFramePr>
            <a:graphic>
              <a:graphicData uri="http://schemas.openxmlformats.org/drawingml/2006/picture">
                <pic:pic>
                  <pic:nvPicPr>
                    <pic:cNvPr id="0" name="fig_08_bullwhip_service.png"/>
                    <pic:cNvPicPr/>
                  </pic:nvPicPr>
                  <pic:blipFill>
                    <a:blip r:embed="rId17"/>
                    <a:stretch>
                      <a:fillRect/>
                    </a:stretch>
                  </pic:blipFill>
                  <pic:spPr>
                    <a:xfrm>
                      <a:off x="0" y="0"/>
                      <a:ext cx="6217920" cy="2317588"/>
                    </a:xfrm>
                    <a:prstGeom prst="rect"/>
                  </pic:spPr>
                </pic:pic>
              </a:graphicData>
            </a:graphic>
          </wp:inline>
        </w:drawing>
      </w:r>
    </w:p>
    <w:p>
      <w:pPr>
        <w:jc w:val="center"/>
      </w:pPr>
      <w:r>
        <w:rPr>
          <w:i/>
          <w:sz w:val="18"/>
        </w:rPr>
        <w:t>Figure 9. Left: ABM bullwhip ratios (order variance / demand variance) by sector and scenario. Right: Service levels (% of demand fulfilled) by sector and scenario.</w:t>
      </w:r>
    </w:p>
    <w:p>
      <w:pPr>
        <w:pStyle w:val="Heading2"/>
      </w:pPr>
      <w:r>
        <w:t>4.4 Recovery Trajectories</w:t>
      </w:r>
    </w:p>
    <w:p>
      <w:pPr>
        <w:jc w:val="both"/>
      </w:pPr>
      <w:r>
        <w:rPr>
          <w:b w:val="0"/>
          <w:i w:val="0"/>
          <w:sz w:val="22"/>
        </w:rPr>
        <w:t>Recovery times (weeks to 95% capacity) vary substantially by sector and scenario. Upstream sectors with high China dependency and long transit times show the slowest recovery. The Pandemic scenario (S5) results in several sectors failing to recover within the 52-week simulation window.</w:t>
      </w:r>
    </w:p>
    <w:p>
      <w:pPr>
        <w:jc w:val="center"/>
      </w:pPr>
      <w:r>
        <w:drawing>
          <wp:inline xmlns:a="http://schemas.openxmlformats.org/drawingml/2006/main" xmlns:pic="http://schemas.openxmlformats.org/drawingml/2006/picture">
            <wp:extent cx="6035040" cy="2572312"/>
            <wp:docPr id="10" name="Picture 10"/>
            <wp:cNvGraphicFramePr>
              <a:graphicFrameLocks noChangeAspect="1"/>
            </wp:cNvGraphicFramePr>
            <a:graphic>
              <a:graphicData uri="http://schemas.openxmlformats.org/drawingml/2006/picture">
                <pic:pic>
                  <pic:nvPicPr>
                    <pic:cNvPr id="0" name="fig_10_recovery_times.png"/>
                    <pic:cNvPicPr/>
                  </pic:nvPicPr>
                  <pic:blipFill>
                    <a:blip r:embed="rId18"/>
                    <a:stretch>
                      <a:fillRect/>
                    </a:stretch>
                  </pic:blipFill>
                  <pic:spPr>
                    <a:xfrm>
                      <a:off x="0" y="0"/>
                      <a:ext cx="6035040" cy="2572312"/>
                    </a:xfrm>
                    <a:prstGeom prst="rect"/>
                  </pic:spPr>
                </pic:pic>
              </a:graphicData>
            </a:graphic>
          </wp:inline>
        </w:drawing>
      </w:r>
    </w:p>
    <w:p>
      <w:pPr>
        <w:jc w:val="center"/>
      </w:pPr>
      <w:r>
        <w:rPr>
          <w:i/>
          <w:sz w:val="18"/>
        </w:rPr>
        <w:t>Figure 10. Recovery times (weeks to 95% capacity) by sector and scenario. Bars reaching 55 weeks indicate no recovery within the simulation window.</w:t>
      </w:r>
    </w:p>
    <w:p>
      <w:r>
        <w:br w:type="page"/>
      </w:r>
    </w:p>
    <w:p>
      <w:pPr>
        <w:pStyle w:val="Heading1"/>
      </w:pPr>
      <w:r>
        <w:t>5. Key Findings</w:t>
      </w:r>
    </w:p>
    <w:p>
      <w:r>
        <w:rPr>
          <w:b/>
          <w:sz w:val="22"/>
        </w:rPr>
        <w:t>Finding 1: China dependency is a systemic risk across multiple tiers</w:t>
      </w:r>
    </w:p>
    <w:p>
      <w:pPr>
        <w:jc w:val="both"/>
      </w:pPr>
      <w:r>
        <w:rPr>
          <w:b w:val="0"/>
          <w:i w:val="0"/>
          <w:sz w:val="21"/>
        </w:rPr>
        <w:t>China dominates production at four of the eight supply chain stages: PTA (67%), PET (60%), Fabric (43%), and Chemical processing (35%). The effective China dependency at the garment stage reaches approximately 60% when upstream Bangladesh/Vietnam sourcing from Chinese fabric is included. The Geopolitical Restriction scenario (S3) produces welfare losses of £1.04bn, confirming that trade restrictions would transmit broadly across the entire chain.</w:t>
      </w:r>
    </w:p>
    <w:p>
      <w:r>
        <w:rPr>
          <w:b/>
          <w:sz w:val="22"/>
        </w:rPr>
        <w:t>Finding 2: PTA is the most price-sensitive upstream node</w:t>
      </w:r>
    </w:p>
    <w:p>
      <w:pPr>
        <w:jc w:val="both"/>
      </w:pPr>
      <w:r>
        <w:rPr>
          <w:b w:val="0"/>
          <w:i w:val="0"/>
          <w:sz w:val="21"/>
        </w:rPr>
        <w:t>A 50% PTA production shock (S1) generates the highest upstream price rise (13.7% at PTA) and propagates substantially downstream via the A-matrix (PTA coefficient 0.55 in PET production). The historical V3 validation confirms that severe single-node upstream shocks can produce price spikes exceeding 100% when substitutability is low.</w:t>
      </w:r>
    </w:p>
    <w:p>
      <w:r>
        <w:rPr>
          <w:b/>
          <w:sz w:val="22"/>
        </w:rPr>
        <w:t>Finding 3: Freight disruptions transmit primarily through cost, not supply</w:t>
      </w:r>
    </w:p>
    <w:p>
      <w:pPr>
        <w:jc w:val="both"/>
      </w:pPr>
      <w:r>
        <w:rPr>
          <w:b w:val="0"/>
          <w:i w:val="0"/>
          <w:sz w:val="21"/>
        </w:rPr>
        <w:t>Red Sea-style logistics shocks (S2, V5) create welfare losses primarily through freight cost pass-through rather than physical supply loss. The MEG price rise of ~10% (ICIS 2024) is well-reproduced when the short-run routing lock-in (σ=0.80) is applied, demonstrating that standard long-run GTAP elasticities overstate substitutability in the face of simultaneous route blockages.</w:t>
      </w:r>
    </w:p>
    <w:p>
      <w:r>
        <w:rPr>
          <w:b/>
          <w:sz w:val="22"/>
        </w:rPr>
        <w:t>Finding 4: Bullwhip amplification is severe upstream under multi-node shocks</w:t>
      </w:r>
    </w:p>
    <w:p>
      <w:pPr>
        <w:jc w:val="both"/>
      </w:pPr>
      <w:r>
        <w:rPr>
          <w:b w:val="0"/>
          <w:i w:val="0"/>
          <w:sz w:val="21"/>
        </w:rPr>
        <w:t>The ABM reveals order variance amplification of 4–15× at PTA/PET stages under the Pandemic (S5) and Geopolitical (S3) scenarios, consistent with Beer Distribution Game theory. Downstream stages (Garment, Wholesale) show more moderate ratios (2–5×), suggesting that the upstream polyester feedstock chain is the primary source of systemic instability.</w:t>
      </w:r>
    </w:p>
    <w:p>
      <w:r>
        <w:rPr>
          <w:b/>
          <w:sz w:val="22"/>
        </w:rPr>
        <w:t>Finding 5: Inventory buffers provide 1–3 weeks of protection but do not prevent cascades</w:t>
      </w:r>
    </w:p>
    <w:p>
      <w:pPr>
        <w:jc w:val="both"/>
      </w:pPr>
      <w:r>
        <w:rPr>
          <w:b w:val="0"/>
          <w:i w:val="0"/>
          <w:sz w:val="21"/>
        </w:rPr>
        <w:t>Safety stock at the Chemical stage (~3 weeks, reflecting the 688kt MEG port inventory) delays but does not prevent cascade propagation from upstream shocks. The IO model shows that once buffer stocks are exhausted, PET output drops within 2–3 weeks of a Chemical supply disruption, as demonstrated in the MEG Disruption scenario (S2, IO loss £0.14bn).</w:t>
      </w:r>
    </w:p>
    <w:p>
      <w:r>
        <w:rPr>
          <w:b/>
          <w:sz w:val="22"/>
        </w:rPr>
        <w:t>Finding 6: Multi-node pandemic shocks cause the greatest systemic risk</w:t>
      </w:r>
    </w:p>
    <w:p>
      <w:pPr>
        <w:jc w:val="both"/>
      </w:pPr>
      <w:r>
        <w:rPr>
          <w:b w:val="0"/>
          <w:i w:val="0"/>
          <w:sz w:val="21"/>
        </w:rPr>
        <w:t>S5 (Multi-Node Pandemic) is the most severe scenario across all metrics: IO economic loss £2.43bn, welfare loss £6.34bn, maximum price rise 19.9%, and multiple sectors failing to recover within 52 weeks. This reflects the compounding effect of simultaneous disruptions at PTA, PET, Fabric, Garment, and Wholesale stages.</w:t>
      </w:r>
    </w:p>
    <w:p>
      <w:r>
        <w:br w:type="page"/>
      </w:r>
    </w:p>
    <w:p>
      <w:pPr>
        <w:pStyle w:val="Heading1"/>
      </w:pPr>
      <w:r>
        <w:t>6. Model Limitations and Caveats</w:t>
      </w:r>
    </w:p>
    <w:p>
      <w:pPr>
        <w:pStyle w:val="ListBullet"/>
      </w:pPr>
      <w:r>
        <w:rPr>
          <w:b/>
          <w:sz w:val="21"/>
        </w:rPr>
        <w:t xml:space="preserve">Static Armington elasticities: </w:t>
      </w:r>
      <w:r>
        <w:rPr>
          <w:sz w:val="21"/>
        </w:rPr>
        <w:t>The CGE model uses long-run GTAP Armington elasticities as defaults. Real short-run substitutability is lower — event-specific overrides are applied for V3 and V5 where market structure justifies deviation, but a comprehensive short-run elasticity calibration would improve fit for all events.</w:t>
      </w:r>
    </w:p>
    <w:p>
      <w:pPr>
        <w:pStyle w:val="ListBullet"/>
      </w:pPr>
      <w:r>
        <w:rPr>
          <w:b/>
          <w:sz w:val="21"/>
        </w:rPr>
        <w:t xml:space="preserve">IO model A-matrix: upstream vs. downstream calibration: </w:t>
      </w:r>
      <w:r>
        <w:rPr>
          <w:sz w:val="21"/>
        </w:rPr>
        <w:t>Downstream coefficients (Fabric→Garment, Petrochem→Textiles) use ONS UK IO Analytical Tables 2023. Upstream entries (Oil→Chemical→PTA→PET) use global supply-chain cost estimates, as UK domestic IO has near-zero coefficients for predominantly-imported feedstocks (&gt;95% import share).</w:t>
      </w:r>
    </w:p>
    <w:p>
      <w:pPr>
        <w:pStyle w:val="ListBullet"/>
      </w:pPr>
      <w:r>
        <w:rPr>
          <w:b/>
          <w:sz w:val="21"/>
        </w:rPr>
        <w:t xml:space="preserve">Single representative agent per sector: </w:t>
      </w:r>
      <w:r>
        <w:rPr>
          <w:sz w:val="21"/>
        </w:rPr>
        <w:t>The ABM uses 3 agents per sector with identical base parameters. Real supply chains have heterogeneous agents (large multinationals vs. SMEs) with different inventory policies, contract lengths, and risk appetites.</w:t>
      </w:r>
    </w:p>
    <w:p>
      <w:pPr>
        <w:pStyle w:val="ListBullet"/>
      </w:pPr>
      <w:r>
        <w:rPr>
          <w:b/>
          <w:sz w:val="21"/>
        </w:rPr>
        <w:t xml:space="preserve">Welfare accounting does not capture labour income effects: </w:t>
      </w:r>
      <w:r>
        <w:rPr>
          <w:sz w:val="21"/>
        </w:rPr>
        <w:t>The CGE welfare measure captures consumer price effects and factor income changes in the Wholesale and Retail stages, but does not model UK labour market adjustment or government fiscal responses to supply disruptions.</w:t>
      </w:r>
    </w:p>
    <w:p>
      <w:pPr>
        <w:pStyle w:val="ListBullet"/>
      </w:pPr>
      <w:r>
        <w:rPr>
          <w:b/>
          <w:sz w:val="21"/>
        </w:rPr>
        <w:t xml:space="preserve">No endogenous trade route diversion at the IO layer: </w:t>
      </w:r>
      <w:r>
        <w:rPr>
          <w:sz w:val="21"/>
        </w:rPr>
        <w:t>The IO model treats sector capacity as a scalar; it does not distinguish between China-sourced and non-China-sourced supply within a sector. Trade route diversion is handled partially by the CGE Armington layer.</w:t>
      </w:r>
    </w:p>
    <w:p>
      <w:pPr>
        <w:pStyle w:val="ListBullet"/>
      </w:pPr>
      <w:r>
        <w:rPr>
          <w:b/>
          <w:sz w:val="21"/>
        </w:rPr>
        <w:t xml:space="preserve">Freight cost modelling uses representative spot indices: </w:t>
      </w:r>
      <w:r>
        <w:rPr>
          <w:sz w:val="21"/>
        </w:rPr>
        <w:t>Drewry WCI and Freightos FBX are spot rate indices. Most large retailers operate on long-term contracts with rate smoothing, so actual pass-through is lower than the full multiplier suggests. This likely explains the V2 welfare overestimate.</w:t>
      </w:r>
    </w:p>
    <w:p>
      <w:r>
        <w:br w:type="page"/>
      </w:r>
    </w:p>
    <w:p>
      <w:pPr>
        <w:pStyle w:val="Heading1"/>
      </w:pPr>
      <w:r>
        <w:t>7. Data Sources</w:t>
      </w:r>
    </w:p>
    <w:tbl>
      <w:tblPr>
        <w:tblStyle w:val="LightShading-Accent1"/>
        <w:tblW w:type="auto" w:w="0"/>
        <w:tblLook w:firstColumn="1" w:firstRow="1" w:lastColumn="0" w:lastRow="0" w:noHBand="0" w:noVBand="1" w:val="04A0"/>
      </w:tblPr>
      <w:tblGrid>
        <w:gridCol w:w="4533"/>
        <w:gridCol w:w="4533"/>
      </w:tblGrid>
      <w:tr>
        <w:tc>
          <w:tcPr>
            <w:tcW w:type="dxa" w:w="2835"/>
          </w:tcPr>
          <w:p>
            <w:r>
              <w:rPr>
                <w:b/>
                <w:sz w:val="17"/>
              </w:rPr>
              <w:t>Source</w:t>
            </w:r>
          </w:p>
        </w:tc>
        <w:tc>
          <w:tcPr>
            <w:tcW w:type="dxa" w:w="5386"/>
          </w:tcPr>
          <w:p>
            <w:r>
              <w:rPr>
                <w:b/>
                <w:sz w:val="17"/>
              </w:rPr>
              <w:t>Usage</w:t>
            </w:r>
          </w:p>
        </w:tc>
      </w:tr>
      <w:tr>
        <w:tc>
          <w:tcPr>
            <w:tcW w:type="dxa" w:w="2835"/>
          </w:tcPr>
          <w:p>
            <w:r>
              <w:rPr>
                <w:sz w:val="17"/>
              </w:rPr>
              <w:t>ONS UK IO Analytical Tables 2023</w:t>
            </w:r>
          </w:p>
        </w:tc>
        <w:tc>
          <w:tcPr>
            <w:tcW w:type="dxa" w:w="5386"/>
          </w:tcPr>
          <w:p>
            <w:r>
              <w:rPr>
                <w:sz w:val="17"/>
              </w:rPr>
              <w:t>Technical input coefficients for downstream sectors (C13, C14, C20B, G46, G47). Published 2025.</w:t>
            </w:r>
          </w:p>
        </w:tc>
      </w:tr>
      <w:tr>
        <w:tc>
          <w:tcPr>
            <w:tcW w:type="dxa" w:w="2835"/>
          </w:tcPr>
          <w:p>
            <w:r>
              <w:rPr>
                <w:sz w:val="17"/>
              </w:rPr>
              <w:t>HMRC OTS API (downloaded 2026-04-17)</w:t>
            </w:r>
          </w:p>
        </w:tc>
        <w:tc>
          <w:tcPr>
            <w:tcW w:type="dxa" w:w="5386"/>
          </w:tcPr>
          <w:p>
            <w:r>
              <w:rPr>
                <w:sz w:val="17"/>
              </w:rPr>
              <w:t>UK synthetic apparel imports 2002–2024, HS61+62, all countries, monthly time series. 29 HS6 codes aggregated.</w:t>
            </w:r>
          </w:p>
        </w:tc>
      </w:tr>
      <w:tr>
        <w:tc>
          <w:tcPr>
            <w:tcW w:type="dxa" w:w="2835"/>
          </w:tcPr>
          <w:p>
            <w:r>
              <w:rPr>
                <w:sz w:val="17"/>
              </w:rPr>
              <w:t>GlobalData 2021 PTA capacity survey</w:t>
            </w:r>
          </w:p>
        </w:tc>
        <w:tc>
          <w:tcPr>
            <w:tcW w:type="dxa" w:w="5386"/>
          </w:tcPr>
          <w:p>
            <w:r>
              <w:rPr>
                <w:sz w:val="17"/>
              </w:rPr>
              <w:t>China 67% of global PTA production capacity.</w:t>
            </w:r>
          </w:p>
        </w:tc>
      </w:tr>
      <w:tr>
        <w:tc>
          <w:tcPr>
            <w:tcW w:type="dxa" w:w="2835"/>
          </w:tcPr>
          <w:p>
            <w:r>
              <w:rPr>
                <w:sz w:val="17"/>
              </w:rPr>
              <w:t>ICIS price series 2021–2024</w:t>
            </w:r>
          </w:p>
        </w:tc>
        <w:tc>
          <w:tcPr>
            <w:tcW w:type="dxa" w:w="5386"/>
          </w:tcPr>
          <w:p>
            <w:r>
              <w:rPr>
                <w:sz w:val="17"/>
              </w:rPr>
              <w:t>PTA, MEG, polyester fibre China domestic and Europe import prices.</w:t>
            </w:r>
          </w:p>
        </w:tc>
      </w:tr>
      <w:tr>
        <w:tc>
          <w:tcPr>
            <w:tcW w:type="dxa" w:w="2835"/>
          </w:tcPr>
          <w:p>
            <w:r>
              <w:rPr>
                <w:sz w:val="17"/>
              </w:rPr>
              <w:t>EIA International Energy Statistics</w:t>
            </w:r>
          </w:p>
        </w:tc>
        <w:tc>
          <w:tcPr>
            <w:tcW w:type="dxa" w:w="5386"/>
          </w:tcPr>
          <w:p>
            <w:r>
              <w:rPr>
                <w:sz w:val="17"/>
              </w:rPr>
              <w:t>Crude oil production by country (Nov 2025 snapshot). Brent crude price 2019–2022.</w:t>
            </w:r>
          </w:p>
        </w:tc>
      </w:tr>
      <w:tr>
        <w:tc>
          <w:tcPr>
            <w:tcW w:type="dxa" w:w="2835"/>
          </w:tcPr>
          <w:p>
            <w:r>
              <w:rPr>
                <w:sz w:val="17"/>
              </w:rPr>
              <w:t>GTAP v10 (Hertel et al. 2012)</w:t>
            </w:r>
          </w:p>
        </w:tc>
        <w:tc>
          <w:tcPr>
            <w:tcW w:type="dxa" w:w="5386"/>
          </w:tcPr>
          <w:p>
            <w:r>
              <w:rPr>
                <w:sz w:val="17"/>
              </w:rPr>
              <w:t>Armington substitution elasticities: oil (5.2), crp (3.65), tex (3.2), wap (3.3).</w:t>
            </w:r>
          </w:p>
        </w:tc>
      </w:tr>
      <w:tr>
        <w:tc>
          <w:tcPr>
            <w:tcW w:type="dxa" w:w="2835"/>
          </w:tcPr>
          <w:p>
            <w:r>
              <w:rPr>
                <w:sz w:val="17"/>
              </w:rPr>
              <w:t>Drewry World Container Index / Freightos FBX</w:t>
            </w:r>
          </w:p>
        </w:tc>
        <w:tc>
          <w:tcPr>
            <w:tcW w:type="dxa" w:w="5386"/>
          </w:tcPr>
          <w:p>
            <w:r>
              <w:rPr>
                <w:sz w:val="17"/>
              </w:rPr>
              <w:t>Shanghai–Rotterdam/Europe container rates 2019–2024.</w:t>
            </w:r>
          </w:p>
        </w:tc>
      </w:tr>
      <w:tr>
        <w:tc>
          <w:tcPr>
            <w:tcW w:type="dxa" w:w="2835"/>
          </w:tcPr>
          <w:p>
            <w:r>
              <w:rPr>
                <w:sz w:val="17"/>
              </w:rPr>
              <w:t>UNCTAD Review of Maritime Transport 2023</w:t>
            </w:r>
          </w:p>
        </w:tc>
        <w:tc>
          <w:tcPr>
            <w:tcW w:type="dxa" w:w="5386"/>
          </w:tcPr>
          <w:p>
            <w:r>
              <w:rPr>
                <w:sz w:val="17"/>
              </w:rPr>
              <w:t>Sea freight cost shares by sector; Red Sea traffic volume 2024.</w:t>
            </w:r>
          </w:p>
        </w:tc>
      </w:tr>
      <w:tr>
        <w:tc>
          <w:tcPr>
            <w:tcW w:type="dxa" w:w="2835"/>
          </w:tcPr>
          <w:p>
            <w:r>
              <w:rPr>
                <w:sz w:val="17"/>
              </w:rPr>
              <w:t>Sterman (1989)</w:t>
            </w:r>
          </w:p>
        </w:tc>
        <w:tc>
          <w:tcPr>
            <w:tcW w:type="dxa" w:w="5386"/>
          </w:tcPr>
          <w:p>
            <w:r>
              <w:rPr>
                <w:sz w:val="17"/>
              </w:rPr>
              <w:t>Beer Distribution Game order rule; θ=4 anchoring parameter.</w:t>
            </w:r>
          </w:p>
        </w:tc>
      </w:tr>
      <w:tr>
        <w:tc>
          <w:tcPr>
            <w:tcW w:type="dxa" w:w="2835"/>
          </w:tcPr>
          <w:p>
            <w:r>
              <w:rPr>
                <w:sz w:val="17"/>
              </w:rPr>
              <w:t>RiSC Report / Findings doc</w:t>
            </w:r>
          </w:p>
        </w:tc>
        <w:tc>
          <w:tcPr>
            <w:tcW w:type="dxa" w:w="5386"/>
          </w:tcPr>
          <w:p>
            <w:r>
              <w:rPr>
                <w:sz w:val="17"/>
              </w:rPr>
              <w:t>UK polyester supply chain structure, China dependency, vulnerability assessment.</w:t>
            </w:r>
          </w:p>
        </w:tc>
      </w:tr>
    </w:tbl>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