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60" w:before="480" w:line="360" w:lineRule="auto"/>
        <w:ind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第一章 绪论</w:t>
      </w:r>
    </w:p>
    <w:p>
      <w:pPr>
        <w:spacing w:after="0" w:before="0" w:line="360" w:lineRule="auto"/>
        <w:ind w:firstLine="420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正文包含行内公式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E=mc^2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，并继续说明文字。</w:t>
      </w:r>
    </w:p>
    <w:p>
      <w:pPr>
        <w:tabs>
          <w:tab w:val="center" w:pos="4535"/>
          <w:tab w:val="right" w:pos="9070"/>
        </w:tabs>
        <w:spacing w:after="120" w:before="120" w:line="360" w:lineRule="auto"/>
      </w:pPr>
      <w:tab/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(a+b)/(c)</w:t>
      </w:r>
      <w:tab/>
      <w:r>
        <w:rPr>
          <w:rFonts w:ascii="Times New Roman" w:cs="Times New Roman" w:eastAsia="Times New Roman" w:hAnsi="Times New Roman"/>
          <w:sz w:val="24"/>
          <w:szCs w:val="24"/>
        </w:rPr>
        <w:t xml:space="preserve">(1-1)</w:t>
      </w:r>
    </w:p>
    <w:p>
      <w:pPr>
        <w:tabs>
          <w:tab w:val="center" w:pos="4535"/>
          <w:tab w:val="right" w:pos="9070"/>
        </w:tabs>
        <w:spacing w:after="120" w:before="120" w:line="360" w:lineRule="auto"/>
      </w:pPr>
      <w:tab/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θ_{coh} ≥ ∑_{i=1}^{n} x_i</w:t>
      </w:r>
      <w:tab/>
      <w:r>
        <w:rPr>
          <w:rFonts w:ascii="Times New Roman" w:cs="Times New Roman" w:eastAsia="Times New Roman" w:hAnsi="Times New Roman"/>
          <w:sz w:val="24"/>
          <w:szCs w:val="24"/>
        </w:rPr>
        <w:t xml:space="preserve">(1-2)</w:t>
      </w:r>
    </w:p>
    <w:p>
      <w:pPr>
        <w:spacing w:after="60" w:before="120"/>
        <w:jc w:val="center"/>
      </w:pPr>
      <w:r>
        <w:rPr>
          <w:rFonts w:ascii="黑体" w:cs="黑体" w:eastAsia="黑体" w:hAnsi="黑体"/>
          <w:b/>
          <w:bCs/>
          <w:i w:val="false"/>
          <w:iCs w:val="false"/>
          <w:sz w:val="21"/>
          <w:szCs w:val="21"/>
        </w:rPr>
        <w:t xml:space="preserve">表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1"/>
          <w:szCs w:val="21"/>
        </w:rPr>
        <w:t xml:space="preserve">1-1 </w:t>
      </w:r>
      <w:r>
        <w:rPr>
          <w:rFonts w:ascii="黑体" w:cs="黑体" w:eastAsia="黑体" w:hAnsi="黑体"/>
          <w:b/>
          <w:bCs/>
          <w:i w:val="false"/>
          <w:iCs w:val="false"/>
          <w:sz w:val="21"/>
          <w:szCs w:val="21"/>
        </w:rPr>
        <w:t xml:space="preserve">示例表</w:t>
      </w:r>
    </w:p>
    <w:tbl>
      <w:tblPr>
        <w:tblW w:type="dxa" w:w="9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single" w:color="000000" w:sz="12"/>
              <w:left w:val="nil" w:color="FFFFFF" w:sz="0"/>
              <w:bottom w:val="single" w:color="000000" w:sz="6"/>
              <w:right w:val="nil" w:color="FFFFFF" w:sz="0"/>
            </w:tcBorders>
          </w:tcPr>
          <w:p>
            <w:pPr>
              <w:spacing w:after="60" w:before="60"/>
              <w:ind w:left="0" w:firstLine="0"/>
              <w:jc w:val="center"/>
            </w:pPr>
            <w:r>
              <w:rPr>
                <w:rFonts w:ascii="黑体" w:cs="黑体" w:eastAsia="黑体" w:hAnsi="黑体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指标</w:t>
            </w:r>
          </w:p>
        </w:tc>
        <w:tc>
          <w:tcPr>
            <w:tcW w:type="dxa" w:w="4535"/>
            <w:tcBorders>
              <w:top w:val="single" w:color="000000" w:sz="12"/>
              <w:left w:val="nil" w:color="FFFFFF" w:sz="0"/>
              <w:bottom w:val="single" w:color="000000" w:sz="6"/>
              <w:right w:val="nil" w:color="FFFFFF" w:sz="0"/>
            </w:tcBorders>
          </w:tcPr>
          <w:p>
            <w:pPr>
              <w:spacing w:after="60" w:before="60"/>
              <w:ind w:left="0" w:firstLine="0"/>
              <w:jc w:val="center"/>
            </w:pPr>
            <w:r>
              <w:rPr>
                <w:rFonts w:ascii="黑体" w:cs="黑体" w:eastAsia="黑体" w:hAnsi="黑体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数值</w:t>
            </w:r>
          </w:p>
        </w:tc>
      </w:tr>
      <w:tr>
        <w:tc>
          <w:tcPr>
            <w:tcW w:type="dxa" w:w="4535"/>
            <w:tcBorders>
              <w:top w:val="nil" w:color="FFFFFF" w:sz="0"/>
              <w:left w:val="nil" w:color="FFFFFF" w:sz="0"/>
              <w:bottom w:val="single" w:color="000000" w:sz="12"/>
              <w:right w:val="nil" w:color="FFFFFF" w:sz="0"/>
            </w:tcBorders>
          </w:tcPr>
          <w:p>
            <w:pPr>
              <w:spacing w:after="40" w:before="40"/>
              <w:ind w:left="0" w:firstLin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4535"/>
            <w:tcBorders>
              <w:top w:val="nil" w:color="FFFFFF" w:sz="0"/>
              <w:left w:val="nil" w:color="FFFFFF" w:sz="0"/>
              <w:bottom w:val="single" w:color="000000" w:sz="12"/>
              <w:right w:val="nil" w:color="FFFFFF" w:sz="0"/>
            </w:tcBorders>
          </w:tcPr>
          <w:p>
            <w:pPr>
              <w:spacing w:after="40" w:before="40"/>
              <w:ind w:left="0" w:firstLin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</w:tr>
    </w:tbl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before="120"/>
        <w:jc w:val="center"/>
      </w:pPr>
      <w:r>
        <w:rPr>
          <w:rFonts w:ascii="宋体" w:cs="宋体" w:eastAsia="宋体" w:hAnsi="宋体"/>
          <w:color w:val="888888"/>
          <w:sz w:val="24"/>
          <w:szCs w:val="24"/>
        </w:rPr>
        <w:t xml:space="preserve">[图片 1-1: 结构图]</w:t>
      </w:r>
    </w:p>
    <w:p>
      <w:pPr>
        <w:spacing w:after="120" w:before="60"/>
        <w:jc w:val="center"/>
      </w:pPr>
      <w:r>
        <w:rPr>
          <w:rFonts w:ascii="黑体" w:cs="黑体" w:eastAsia="黑体" w:hAnsi="黑体"/>
          <w:b/>
          <w:bCs/>
          <w:i w:val="false"/>
          <w:iCs w:val="false"/>
          <w:sz w:val="21"/>
          <w:szCs w:val="21"/>
        </w:rPr>
        <w:t xml:space="preserve">图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1"/>
          <w:szCs w:val="21"/>
        </w:rPr>
        <w:t xml:space="preserve">1-1 </w:t>
      </w:r>
      <w:r>
        <w:rPr>
          <w:rFonts w:ascii="黑体" w:cs="黑体" w:eastAsia="黑体" w:hAnsi="黑体"/>
          <w:b/>
          <w:bCs/>
          <w:i w:val="false"/>
          <w:iCs w:val="false"/>
          <w:sz w:val="21"/>
          <w:szCs w:val="21"/>
        </w:rPr>
        <w:t xml:space="preserve">结构图</w:t>
      </w:r>
    </w:p>
    <w:p>
      <w:pPr>
        <w:sectPr>
          <w:headerReference w:type="default" r:id="rId7"/>
          <w:headerReference w:type="even" r:id="rId8"/>
          <w:footerReference w:type="default" r:id="rId9"/>
          <w:footerReference w:type="first" r:id="rId10"/>
          <w:pgSz w:w="11906" w:h="16838" w:orient="portrait"/>
          <w:pgMar w:top="1418" w:right="1134" w:bottom="1134" w:left="1701" w:header="851" w:footer="992" w:gutter="0"/>
          <w:pgNumType w:fmt="lowerRoman"/>
          <w:titlePg/>
          <w:docGrid w:linePitch="360"/>
        </w:sectPr>
      </w:pPr>
    </w:p>
    <w:p>
      <w:pPr>
        <w:pStyle w:val="Heading1"/>
        <w:spacing w:after="360" w:before="480" w:line="360" w:lineRule="auto"/>
        <w:ind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0" w:before="0" w:line="440" w:lineRule="exact"/>
        <w:ind w:left="442" w:hanging="442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张三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基于深度学习的图像识别方法研究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[J]. 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计算机学报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2023, 46(3): 500-520.</w:t>
      </w:r>
    </w:p>
    <w:p>
      <w:pPr>
        <w:sectPr>
          <w:headerReference w:type="default" r:id="rId11"/>
          <w:headerReference w:type="even" r:id="rId12"/>
          <w:footerReference w:type="default" r:id="rId13"/>
          <w:pgSz w:w="11906" w:h="16838" w:orient="portrait"/>
          <w:pgMar w:top="1418" w:right="1134" w:bottom="1134" w:left="1701" w:header="851" w:footer="992" w:gutter="0"/>
          <w:pgNumType w:start="1" w:fmt="decimal"/>
          <w:titlePg w:val="false"/>
          <w:docGrid w:linePitch="360"/>
        </w:sectPr>
      </w:pPr>
    </w:p>
    <w:p>
      <w:pPr>
        <w:pStyle w:val="Heading1"/>
        <w:spacing w:after="360" w:before="480" w:line="360" w:lineRule="auto"/>
        <w:ind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第二章 方法</w:t>
      </w:r>
    </w:p>
    <w:p>
      <w:pPr>
        <w:spacing w:after="0" w:before="0" w:line="360" w:lineRule="auto"/>
        <w:ind w:firstLine="420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第二章正文。</w:t>
      </w:r>
    </w:p>
    <w:sectPr>
      <w:headerReference w:type="default" r:id="rId14"/>
      <w:headerReference w:type="even" r:id="rId15"/>
      <w:footerReference w:type="default" r:id="rId16"/>
      <w:pgSz w:w="11906" w:h="16838" w:orient="portrait"/>
      <w:pgMar w:top="1418" w:right="1134" w:bottom="1134" w:left="1701" w:header="851" w:footer="992" w:gutter="0"/>
      <w:pgNumType w:fmt="decimal"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第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第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第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绪论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云南大学（专业）硕士学位论文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参考文献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云南大学（专业）硕士学位论文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方法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云南大学（专业）硕士学位论文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2026-06-19T09:26:19.611Z</dcterms:created>
  <dcterms:modified xsi:type="dcterms:W3CDTF">2026-06-19T09:26:19.612Z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