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E4ADB">
      <w:pPr>
        <w:rPr>
          <w:rFonts w:hint="eastAsia" w:ascii="黑体" w:eastAsia="黑体"/>
          <w:sz w:val="52"/>
          <w:szCs w:val="52"/>
        </w:rPr>
      </w:pPr>
      <w:bookmarkStart w:id="0" w:name="_Toc106954232"/>
      <w:r>
        <w:rPr>
          <w:rFonts w:hint="eastAsia" w:eastAsia="楷体_GB2312"/>
          <w:sz w:val="24"/>
        </w:rPr>
        <w:t xml:space="preserve">                                    </w:t>
      </w:r>
    </w:p>
    <w:p w14:paraId="5F75C375">
      <w:pPr>
        <w:rPr>
          <w:rFonts w:hint="eastAsia" w:ascii="黑体" w:eastAsia="黑体"/>
          <w:sz w:val="52"/>
          <w:szCs w:val="52"/>
        </w:rPr>
      </w:pPr>
    </w:p>
    <w:p w14:paraId="0BE72A7A">
      <w:pPr>
        <w:jc w:val="center"/>
        <w:rPr>
          <w:rFonts w:hint="eastAsia" w:ascii="隶书" w:eastAsia="隶书"/>
          <w:sz w:val="120"/>
          <w:szCs w:val="120"/>
        </w:rPr>
      </w:pPr>
    </w:p>
    <w:p w14:paraId="30C6F099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智能燃气巡检管理平台</w:t>
      </w:r>
    </w:p>
    <w:p w14:paraId="7A9CD146">
      <w:pPr>
        <w:rPr>
          <w:rFonts w:hint="eastAsia" w:ascii="黑体" w:eastAsia="黑体"/>
          <w:sz w:val="52"/>
          <w:szCs w:val="52"/>
        </w:rPr>
      </w:pPr>
    </w:p>
    <w:p w14:paraId="6DA08929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用户界面设计报告</w:t>
      </w:r>
    </w:p>
    <w:p w14:paraId="49D8155A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6300CE2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A5406E7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6598E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8" w:type="dxa"/>
            <w:vMerge w:val="restart"/>
            <w:noWrap w:val="0"/>
            <w:vAlign w:val="top"/>
          </w:tcPr>
          <w:p w14:paraId="661CD2BB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44787515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5D3EF4E2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正式发布</w:t>
            </w:r>
          </w:p>
          <w:p w14:paraId="1B6C3751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2E76561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0252E794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D0B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0F1F124B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12ACB49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25479B5B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1.0</w:t>
            </w:r>
          </w:p>
        </w:tc>
      </w:tr>
      <w:tr w14:paraId="61CA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7DCBE35D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424F1D0C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0C336452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张棚程</w:t>
            </w:r>
          </w:p>
        </w:tc>
      </w:tr>
      <w:tr w14:paraId="3057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03D0FFAF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3705C7B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1E779854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2023-04-10</w:t>
            </w:r>
          </w:p>
        </w:tc>
      </w:tr>
    </w:tbl>
    <w:p w14:paraId="08A2E92D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C0A36AD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6A59264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1ACC304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0E40E97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028C329B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0482BC28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05652AEF">
      <w:pPr>
        <w:jc w:val="center"/>
        <w:rPr>
          <w:rFonts w:hint="eastAsia"/>
          <w:b/>
          <w:bCs/>
          <w:sz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7EC6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6CB9B79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971" w:type="dxa"/>
            <w:noWrap w:val="0"/>
            <w:vAlign w:val="top"/>
          </w:tcPr>
          <w:p w14:paraId="098F294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971" w:type="dxa"/>
            <w:noWrap w:val="0"/>
            <w:vAlign w:val="top"/>
          </w:tcPr>
          <w:p w14:paraId="56DFB9E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1971" w:type="dxa"/>
            <w:noWrap w:val="0"/>
            <w:vAlign w:val="top"/>
          </w:tcPr>
          <w:p w14:paraId="71930CA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971" w:type="dxa"/>
            <w:noWrap w:val="0"/>
            <w:vAlign w:val="top"/>
          </w:tcPr>
          <w:p w14:paraId="1A1849E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15FF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26872A6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1.0</w:t>
            </w:r>
          </w:p>
        </w:tc>
        <w:tc>
          <w:tcPr>
            <w:tcW w:w="1971" w:type="dxa"/>
            <w:noWrap w:val="0"/>
            <w:vAlign w:val="top"/>
          </w:tcPr>
          <w:p w14:paraId="0BA3DD51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20AE6F87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  <w:bookmarkStart w:id="30" w:name="_GoBack"/>
            <w:bookmarkEnd w:id="30"/>
          </w:p>
        </w:tc>
        <w:tc>
          <w:tcPr>
            <w:tcW w:w="1971" w:type="dxa"/>
            <w:noWrap w:val="0"/>
            <w:vAlign w:val="top"/>
          </w:tcPr>
          <w:p w14:paraId="596BF979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772658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47A8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1197EE3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D09EBF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1CFC23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CDED315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8ABBE2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530A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035AA1E3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619DB50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7652924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EBB55B9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CFA070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15AD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64DB5BA5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CA92795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D4F0395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689250A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F2FBD4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</w:tbl>
    <w:p w14:paraId="533AE8F6">
      <w:pPr>
        <w:rPr>
          <w:rFonts w:hint="eastAsia"/>
          <w:b/>
          <w:bCs/>
          <w:sz w:val="24"/>
        </w:rPr>
      </w:pPr>
    </w:p>
    <w:p w14:paraId="51BEE581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1A445F56">
      <w:pPr>
        <w:pStyle w:val="9"/>
        <w:tabs>
          <w:tab w:val="right" w:leader="dot" w:pos="9638"/>
        </w:tabs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Fonts w:ascii="隶书" w:eastAsia="隶书"/>
          <w:bCs/>
          <w:szCs w:val="52"/>
        </w:rPr>
        <w:fldChar w:fldCharType="begin"/>
      </w:r>
      <w:r>
        <w:rPr>
          <w:rFonts w:ascii="隶书" w:eastAsia="隶书"/>
          <w:bCs/>
          <w:szCs w:val="52"/>
        </w:rPr>
        <w:instrText xml:space="preserve"> HYPERLINK \l _Toc12864 </w:instrText>
      </w:r>
      <w:r>
        <w:rPr>
          <w:rFonts w:ascii="隶书" w:eastAsia="隶书"/>
          <w:bCs/>
          <w:szCs w:val="52"/>
        </w:rPr>
        <w:fldChar w:fldCharType="separate"/>
      </w:r>
      <w:r>
        <w:rPr>
          <w:rFonts w:hint="eastAsia"/>
        </w:rPr>
        <w:t>0. 文档介绍</w:t>
      </w:r>
      <w:r>
        <w:tab/>
      </w:r>
      <w:r>
        <w:fldChar w:fldCharType="begin"/>
      </w:r>
      <w:r>
        <w:instrText xml:space="preserve"> PAGEREF _Toc12864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szCs w:val="52"/>
        </w:rPr>
        <w:fldChar w:fldCharType="end"/>
      </w:r>
    </w:p>
    <w:p w14:paraId="7860CC1D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_Toc4165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0.1 文档目的</w:t>
      </w:r>
      <w:r>
        <w:tab/>
      </w:r>
      <w:r>
        <w:fldChar w:fldCharType="begin"/>
      </w:r>
      <w:r>
        <w:instrText xml:space="preserve"> PAGEREF _Toc4165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DCD9594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_Toc13655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0.2 文档范围</w:t>
      </w:r>
      <w:r>
        <w:tab/>
      </w:r>
      <w:r>
        <w:fldChar w:fldCharType="begin"/>
      </w:r>
      <w:r>
        <w:instrText xml:space="preserve"> PAGEREF _Toc13655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F8A5024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_Toc16947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0.3 读者对象</w:t>
      </w:r>
      <w:r>
        <w:tab/>
      </w:r>
      <w:r>
        <w:fldChar w:fldCharType="begin"/>
      </w:r>
      <w:r>
        <w:instrText xml:space="preserve"> PAGEREF _Toc16947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C5DA68B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_Toc15130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0.4 参考文档</w:t>
      </w:r>
      <w:r>
        <w:tab/>
      </w:r>
      <w:r>
        <w:fldChar w:fldCharType="begin"/>
      </w:r>
      <w:r>
        <w:instrText xml:space="preserve"> PAGEREF _Toc15130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2D668F9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_Toc30431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0.5 术语与缩写解释</w:t>
      </w:r>
      <w:r>
        <w:tab/>
      </w:r>
      <w:r>
        <w:fldChar w:fldCharType="begin"/>
      </w:r>
      <w:r>
        <w:instrText xml:space="preserve"> PAGEREF _Toc30431 \h </w:instrText>
      </w:r>
      <w:r>
        <w:fldChar w:fldCharType="separate"/>
      </w:r>
      <w:r>
        <w:t>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FCCADD3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_Toc338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1. 用户界面设计规范</w:t>
      </w:r>
      <w:r>
        <w:tab/>
      </w:r>
      <w:r>
        <w:fldChar w:fldCharType="begin"/>
      </w:r>
      <w:r>
        <w:instrText xml:space="preserve"> PAGEREF _Toc338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AD59B09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_Toc21799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2. 用户界面视图汇总</w:t>
      </w:r>
      <w:r>
        <w:tab/>
      </w:r>
      <w:r>
        <w:fldChar w:fldCharType="begin"/>
      </w:r>
      <w:r>
        <w:instrText xml:space="preserve"> PAGEREF _Toc21799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BD63A65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_Toc15051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3. 主界面设计</w:t>
      </w:r>
      <w:r>
        <w:tab/>
      </w:r>
      <w:r>
        <w:fldChar w:fldCharType="begin"/>
      </w:r>
      <w:r>
        <w:instrText xml:space="preserve"> PAGEREF _Toc15051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2A3DEBC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_Toc30309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 子界面设计</w:t>
      </w:r>
      <w:r>
        <w:tab/>
      </w:r>
      <w:r>
        <w:fldChar w:fldCharType="begin"/>
      </w:r>
      <w:r>
        <w:instrText xml:space="preserve"> PAGEREF _Toc30309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A3E6879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_Toc3635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4.1.登录页面</w:t>
      </w:r>
      <w:r>
        <w:tab/>
      </w:r>
      <w:r>
        <w:fldChar w:fldCharType="begin"/>
      </w:r>
      <w:r>
        <w:instrText xml:space="preserve"> PAGEREF _Toc3635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343478D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_Toc30306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4.2. 登录页面</w:t>
      </w:r>
      <w:r>
        <w:tab/>
      </w:r>
      <w:r>
        <w:fldChar w:fldCharType="begin"/>
      </w:r>
      <w:r>
        <w:instrText xml:space="preserve"> PAGEREF _Toc30306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BDE90B4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_Toc16571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4.3. 组织管理页面</w:t>
      </w:r>
      <w:r>
        <w:tab/>
      </w:r>
      <w:r>
        <w:fldChar w:fldCharType="begin"/>
      </w:r>
      <w:r>
        <w:instrText xml:space="preserve"> PAGEREF _Toc16571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1A2BC23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_Toc25583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4.4. 建户立档页面</w:t>
      </w:r>
      <w:r>
        <w:tab/>
      </w:r>
      <w:r>
        <w:fldChar w:fldCharType="begin"/>
      </w:r>
      <w:r>
        <w:instrText xml:space="preserve"> PAGEREF _Toc25583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0E753F8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_Toc4808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4.5. 巡检计划管理页面</w:t>
      </w:r>
      <w:r>
        <w:tab/>
      </w:r>
      <w:r>
        <w:fldChar w:fldCharType="begin"/>
      </w:r>
      <w:r>
        <w:instrText xml:space="preserve"> PAGEREF _Toc4808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8D636C6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_Toc8013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4.6. 隐患管理页面</w:t>
      </w:r>
      <w:r>
        <w:tab/>
      </w:r>
      <w:r>
        <w:fldChar w:fldCharType="begin"/>
      </w:r>
      <w:r>
        <w:instrText xml:space="preserve"> PAGEREF _Toc8013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F5A8734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_Toc18241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4.7. 小程序端页面</w:t>
      </w:r>
      <w:r>
        <w:tab/>
      </w:r>
      <w:r>
        <w:fldChar w:fldCharType="begin"/>
      </w:r>
      <w:r>
        <w:instrText xml:space="preserve"> PAGEREF _Toc18241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C776C22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_Toc23752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5. 美学设计</w:t>
      </w:r>
      <w:r>
        <w:tab/>
      </w:r>
      <w:r>
        <w:fldChar w:fldCharType="begin"/>
      </w:r>
      <w:r>
        <w:instrText xml:space="preserve"> PAGEREF _Toc23752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CA6B7B0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_Toc21053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 界面资源设计</w:t>
      </w:r>
      <w:r>
        <w:tab/>
      </w:r>
      <w:r>
        <w:fldChar w:fldCharType="begin"/>
      </w:r>
      <w:r>
        <w:instrText xml:space="preserve"> PAGEREF _Toc21053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40CAF61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_Toc30000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6.1 图标资源</w:t>
      </w:r>
      <w:r>
        <w:tab/>
      </w:r>
      <w:r>
        <w:fldChar w:fldCharType="begin"/>
      </w:r>
      <w:r>
        <w:instrText xml:space="preserve"> PAGEREF _Toc30000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B8F5E02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_Toc21014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6.2 图象资源</w:t>
      </w:r>
      <w:r>
        <w:tab/>
      </w:r>
      <w:r>
        <w:fldChar w:fldCharType="begin"/>
      </w:r>
      <w:r>
        <w:instrText xml:space="preserve"> PAGEREF _Toc21014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28378B5">
      <w:pPr>
        <w:pStyle w:val="1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_Toc15125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6.3 界面组件</w:t>
      </w:r>
      <w:r>
        <w:tab/>
      </w:r>
      <w:r>
        <w:fldChar w:fldCharType="begin"/>
      </w:r>
      <w:r>
        <w:instrText xml:space="preserve"> PAGEREF _Toc15125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0CD241F">
      <w:pPr>
        <w:pStyle w:val="9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_Toc20020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/>
        </w:rPr>
        <w:t>7. 其他</w:t>
      </w:r>
      <w:r>
        <w:tab/>
      </w:r>
      <w:r>
        <w:fldChar w:fldCharType="begin"/>
      </w:r>
      <w:r>
        <w:instrText xml:space="preserve"> PAGEREF _Toc20020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8D80E6B">
      <w:pPr>
        <w:pStyle w:val="2"/>
        <w:rPr>
          <w:rFonts w:hint="eastAsia"/>
        </w:rPr>
      </w:pPr>
      <w:r>
        <w:rPr>
          <w:rFonts w:ascii="隶书" w:eastAsia="隶书"/>
          <w:bCs w:val="0"/>
          <w:kern w:val="2"/>
          <w:szCs w:val="52"/>
        </w:rPr>
        <w:fldChar w:fldCharType="end"/>
      </w:r>
      <w:bookmarkStart w:id="1" w:name="_Toc12864"/>
      <w:r>
        <w:br w:type="page"/>
      </w:r>
      <w:r>
        <w:rPr>
          <w:rFonts w:hint="eastAsia"/>
        </w:rPr>
        <w:t>0. 文档介绍</w:t>
      </w:r>
      <w:bookmarkEnd w:id="1"/>
    </w:p>
    <w:p w14:paraId="2B50DE07">
      <w:pPr>
        <w:pStyle w:val="3"/>
        <w:rPr>
          <w:rFonts w:hint="eastAsia"/>
        </w:rPr>
      </w:pPr>
      <w:bookmarkStart w:id="2" w:name="_Toc4165"/>
      <w:r>
        <w:rPr>
          <w:rFonts w:hint="eastAsia"/>
        </w:rPr>
        <w:t>0.1 文档目的</w:t>
      </w:r>
      <w:bookmarkEnd w:id="2"/>
    </w:p>
    <w:p w14:paraId="60264669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本份是智能燃气巡检管理平台的用户界面设计报告，主要用于说明系统的用户界面设计规范，用户界面视图汇总，主界面及各个核心业务子界面的设计布局说明，为前端开发提供界面原型的文字化约束与指导。</w:t>
      </w:r>
    </w:p>
    <w:p w14:paraId="4D413B29">
      <w:pPr>
        <w:pStyle w:val="3"/>
        <w:rPr>
          <w:rFonts w:hint="eastAsia"/>
        </w:rPr>
      </w:pPr>
      <w:bookmarkStart w:id="3" w:name="_Toc13655"/>
      <w:r>
        <w:rPr>
          <w:rFonts w:hint="eastAsia"/>
        </w:rPr>
        <w:t>0.2 文档范围</w:t>
      </w:r>
      <w:bookmarkEnd w:id="3"/>
    </w:p>
    <w:p w14:paraId="53D64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用于说明本系统的用户界面设计规范、用户界面视图汇总、主界面设计、各大业务子模块（组织管理、建户立档、巡检计划、隐患管理、小程序端等）的界面布局及交互逻辑。</w:t>
      </w:r>
    </w:p>
    <w:p w14:paraId="373A3EDC">
      <w:pPr>
        <w:pStyle w:val="3"/>
        <w:rPr>
          <w:rFonts w:hint="eastAsia"/>
        </w:rPr>
      </w:pPr>
      <w:bookmarkStart w:id="4" w:name="_Toc16947"/>
      <w:r>
        <w:rPr>
          <w:rFonts w:hint="eastAsia"/>
        </w:rPr>
        <w:t>0.3 读者对象</w:t>
      </w:r>
      <w:bookmarkEnd w:id="4"/>
    </w:p>
    <w:p w14:paraId="00C4D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UI工程师、前端开发人员、后端工程师、系统设计人员、项目经理及测试人员。</w:t>
      </w:r>
    </w:p>
    <w:p w14:paraId="7B9267C4">
      <w:pPr>
        <w:pStyle w:val="3"/>
        <w:rPr>
          <w:rFonts w:hint="eastAsia"/>
        </w:rPr>
      </w:pPr>
      <w:bookmarkStart w:id="5" w:name="_Toc15130"/>
      <w:r>
        <w:rPr>
          <w:rFonts w:hint="eastAsia"/>
        </w:rPr>
        <w:t>0.4 参考文档</w:t>
      </w:r>
      <w:bookmarkEnd w:id="5"/>
    </w:p>
    <w:p w14:paraId="72A219C0">
      <w:pPr>
        <w:ind w:firstLine="840" w:firstLineChars="400"/>
        <w:rPr>
          <w:rFonts w:hint="eastAsia"/>
        </w:rPr>
      </w:pPr>
      <w:r>
        <w:rPr>
          <w:rFonts w:hint="eastAsia"/>
        </w:rPr>
        <w:t>《智能燃气巡检管理平台 - 需求规格说明书》</w:t>
      </w:r>
    </w:p>
    <w:p w14:paraId="6F92D0DE">
      <w:pPr>
        <w:ind w:firstLine="840" w:firstLineChars="400"/>
        <w:rPr>
          <w:rFonts w:hint="eastAsia"/>
        </w:rPr>
      </w:pPr>
      <w:r>
        <w:rPr>
          <w:rFonts w:hint="eastAsia"/>
        </w:rPr>
        <w:t>《智能燃气巡检管理平台 - 数据库设计报告》</w:t>
      </w:r>
    </w:p>
    <w:p w14:paraId="674B5D03">
      <w:pPr>
        <w:ind w:firstLine="840" w:firstLineChars="400"/>
        <w:rPr>
          <w:rFonts w:hint="eastAsia"/>
          <w:i/>
          <w:color w:val="0000FF"/>
        </w:rPr>
      </w:pPr>
      <w:r>
        <w:rPr>
          <w:rFonts w:hint="eastAsia"/>
        </w:rPr>
        <w:t>《智能燃气巡检管理平台 - 体系结构设计报告》</w:t>
      </w:r>
    </w:p>
    <w:p w14:paraId="05DCDC0F">
      <w:pPr>
        <w:pStyle w:val="3"/>
        <w:rPr>
          <w:rFonts w:hint="eastAsia"/>
        </w:rPr>
      </w:pPr>
      <w:bookmarkStart w:id="6" w:name="_Toc30431"/>
      <w:r>
        <w:rPr>
          <w:rFonts w:hint="eastAsia"/>
        </w:rPr>
        <w:t>0.5 术语与缩写解释</w:t>
      </w:r>
      <w:bookmarkEnd w:id="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586"/>
      </w:tblGrid>
      <w:tr w14:paraId="3308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6E6E6"/>
            <w:noWrap w:val="0"/>
            <w:vAlign w:val="top"/>
          </w:tcPr>
          <w:p w14:paraId="124B7D2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缩写、术语</w:t>
            </w:r>
          </w:p>
        </w:tc>
        <w:tc>
          <w:tcPr>
            <w:tcW w:w="7586" w:type="dxa"/>
            <w:shd w:val="clear" w:color="auto" w:fill="E6E6E6"/>
            <w:noWrap w:val="0"/>
            <w:vAlign w:val="top"/>
          </w:tcPr>
          <w:p w14:paraId="4864DF5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 释</w:t>
            </w:r>
          </w:p>
        </w:tc>
      </w:tr>
      <w:tr w14:paraId="75FB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0CEB712F">
            <w:pPr>
              <w:rPr>
                <w:rFonts w:hint="eastAsia" w:ascii="宋体" w:hAnsi="宋体" w:eastAsia="宋体" w:cs="宋体"/>
                <w:i w:val="0"/>
                <w:iCs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/>
                <w:color w:val="auto"/>
              </w:rPr>
              <w:t>UI</w:t>
            </w:r>
          </w:p>
        </w:tc>
        <w:tc>
          <w:tcPr>
            <w:tcW w:w="7586" w:type="dxa"/>
            <w:noWrap w:val="0"/>
            <w:vAlign w:val="top"/>
          </w:tcPr>
          <w:p w14:paraId="5FD78A5C">
            <w:pPr>
              <w:rPr>
                <w:rFonts w:hint="eastAsia" w:ascii="宋体" w:hAnsi="宋体" w:eastAsia="宋体" w:cs="宋体"/>
                <w:i w:val="0"/>
                <w:iCs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/>
                <w:color w:val="auto"/>
              </w:rPr>
              <w:t>User Interface，用户界面</w:t>
            </w:r>
          </w:p>
        </w:tc>
      </w:tr>
      <w:tr w14:paraId="1C4E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29BACF7F">
            <w:pPr>
              <w:rPr>
                <w:rFonts w:hint="eastAsia" w:ascii="宋体" w:hAnsi="宋体" w:eastAsia="宋体" w:cs="宋体"/>
                <w:i w:val="0"/>
                <w:iCs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/>
                <w:color w:val="auto"/>
              </w:rPr>
              <w:t>交互逻辑</w:t>
            </w:r>
          </w:p>
        </w:tc>
        <w:tc>
          <w:tcPr>
            <w:tcW w:w="7586" w:type="dxa"/>
            <w:noWrap w:val="0"/>
            <w:vAlign w:val="top"/>
          </w:tcPr>
          <w:p w14:paraId="26B21BF1">
            <w:pPr>
              <w:rPr>
                <w:rFonts w:hint="eastAsia" w:ascii="宋体" w:hAnsi="宋体" w:eastAsia="宋体" w:cs="宋体"/>
                <w:i w:val="0"/>
                <w:iCs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/>
                <w:color w:val="auto"/>
              </w:rPr>
              <w:t>用户在界面上执行操作（如点击、输入）后，系统给予的反馈过程</w:t>
            </w:r>
          </w:p>
        </w:tc>
      </w:tr>
      <w:tr w14:paraId="033A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50676B91">
            <w:pPr>
              <w:rPr>
                <w:rFonts w:hint="eastAsia"/>
              </w:rPr>
            </w:pPr>
            <w:r>
              <w:rPr>
                <w:rFonts w:hint="eastAsia"/>
              </w:rPr>
              <w:t>面包屑导航</w:t>
            </w:r>
          </w:p>
        </w:tc>
        <w:tc>
          <w:tcPr>
            <w:tcW w:w="7586" w:type="dxa"/>
            <w:noWrap w:val="0"/>
            <w:vAlign w:val="top"/>
          </w:tcPr>
          <w:p w14:paraId="4E47DAF9">
            <w:pPr>
              <w:rPr>
                <w:rFonts w:hint="eastAsia"/>
              </w:rPr>
            </w:pPr>
            <w:r>
              <w:rPr>
                <w:rFonts w:hint="eastAsia"/>
              </w:rPr>
              <w:t>辅助导航方式，提示用户当前所处系统层级位置</w:t>
            </w:r>
          </w:p>
        </w:tc>
      </w:tr>
      <w:tr w14:paraId="12C8B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205CA035">
            <w:pPr>
              <w:rPr>
                <w:rFonts w:hint="eastAsia"/>
              </w:rPr>
            </w:pPr>
          </w:p>
        </w:tc>
        <w:tc>
          <w:tcPr>
            <w:tcW w:w="7586" w:type="dxa"/>
            <w:noWrap w:val="0"/>
            <w:vAlign w:val="top"/>
          </w:tcPr>
          <w:p w14:paraId="1822507F">
            <w:pPr>
              <w:rPr>
                <w:rFonts w:hint="eastAsia"/>
              </w:rPr>
            </w:pPr>
          </w:p>
        </w:tc>
      </w:tr>
    </w:tbl>
    <w:p w14:paraId="167C9714">
      <w:pPr>
        <w:pStyle w:val="2"/>
        <w:rPr>
          <w:rFonts w:hint="eastAsia"/>
        </w:rPr>
      </w:pPr>
      <w:bookmarkStart w:id="7" w:name="_Toc338"/>
      <w:r>
        <w:rPr>
          <w:rFonts w:hint="eastAsia"/>
        </w:rPr>
        <w:t>1. 用户界面设计规范</w:t>
      </w:r>
      <w:bookmarkEnd w:id="0"/>
      <w:bookmarkEnd w:id="7"/>
    </w:p>
    <w:p w14:paraId="1AB2A5A8">
      <w:pPr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遵循“以用户为中心的设计”原则，在此原则下，界面操作的简易程度已经成为不可或缺的一个衡量指标。此外，界面操作的简易主要从以下几个方面衡量：</w:t>
      </w:r>
    </w:p>
    <w:p w14:paraId="3A5292BC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（1）界面布局合理： 遵循“左侧导航、顶部状态、中部内容”的经典B/S后台管理系统布局。</w:t>
      </w:r>
    </w:p>
    <w:p w14:paraId="171DF905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（2）界面一致性： 所有的弹窗、按钮颜色（如新增为蓝色、删除为红色、警告为橙色）、表格样式在全系统中保持高度一致。</w:t>
      </w:r>
    </w:p>
    <w:p w14:paraId="0B4D9B96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（3）鼠标与键盘合理对应： 支持常用快捷键操作（如Enter键快速搜索/登录，Esc键关闭弹窗）。</w:t>
      </w:r>
    </w:p>
    <w:p w14:paraId="6E5F7DA5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（4）合理的界面大小，高效利用显示器： 采用响应式布局，适配 1366x768 至 1920x1080 及以上的屏幕分辨率。</w:t>
      </w:r>
    </w:p>
    <w:p w14:paraId="02193419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（5）人性化的界面交互： 让用户使用起来得心应手，做到良好的人机交互（如：长时间加载时提供Loading动画；操作成功/失败提供即时Toast消息提示）。</w:t>
      </w:r>
    </w:p>
    <w:p w14:paraId="439740C5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（6）界面美观大方： 采用扁平化设计，整体色调以体现科技感与公用事业稳重感的“科技蓝”为主。</w:t>
      </w:r>
    </w:p>
    <w:p w14:paraId="74988B72">
      <w:pPr>
        <w:pStyle w:val="2"/>
        <w:rPr>
          <w:rFonts w:hint="eastAsia"/>
        </w:rPr>
      </w:pPr>
      <w:bookmarkStart w:id="8" w:name="_Toc21799"/>
      <w:bookmarkStart w:id="9" w:name="_Toc106954233"/>
      <w:r>
        <w:rPr>
          <w:rFonts w:hint="eastAsia"/>
        </w:rPr>
        <w:t>2. 用户界面视图汇总</w:t>
      </w:r>
      <w:bookmarkEnd w:id="8"/>
      <w:bookmarkEnd w:id="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4346"/>
      </w:tblGrid>
      <w:tr w14:paraId="1224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6E6E6"/>
            <w:noWrap w:val="0"/>
            <w:vAlign w:val="top"/>
          </w:tcPr>
          <w:p w14:paraId="7AF422F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视图名称</w:t>
            </w:r>
          </w:p>
        </w:tc>
        <w:tc>
          <w:tcPr>
            <w:tcW w:w="3060" w:type="dxa"/>
            <w:shd w:val="clear" w:color="auto" w:fill="E6E6E6"/>
            <w:noWrap w:val="0"/>
            <w:vAlign w:val="top"/>
          </w:tcPr>
          <w:p w14:paraId="2D6319A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标识符</w:t>
            </w:r>
          </w:p>
        </w:tc>
        <w:tc>
          <w:tcPr>
            <w:tcW w:w="4346" w:type="dxa"/>
            <w:shd w:val="clear" w:color="auto" w:fill="E6E6E6"/>
            <w:noWrap w:val="0"/>
            <w:vAlign w:val="top"/>
          </w:tcPr>
          <w:p w14:paraId="2419B90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描述用途及其他界面视图之间的关系</w:t>
            </w:r>
          </w:p>
        </w:tc>
      </w:tr>
      <w:tr w14:paraId="6BD7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55B00A28">
            <w:pPr>
              <w:rPr>
                <w:rFonts w:hint="eastAsia"/>
              </w:rPr>
            </w:pPr>
            <w:r>
              <w:rPr>
                <w:rFonts w:hint="eastAsia"/>
              </w:rPr>
              <w:t>登录视图</w:t>
            </w:r>
          </w:p>
        </w:tc>
        <w:tc>
          <w:tcPr>
            <w:tcW w:w="3060" w:type="dxa"/>
            <w:noWrap w:val="0"/>
            <w:vAlign w:val="top"/>
          </w:tcPr>
          <w:p w14:paraId="453BEDF8">
            <w:pPr>
              <w:rPr>
                <w:rFonts w:hint="eastAsia"/>
              </w:rPr>
            </w:pPr>
            <w:r>
              <w:rPr>
                <w:rFonts w:hint="eastAsia"/>
              </w:rPr>
              <w:t>LoginView</w:t>
            </w:r>
          </w:p>
        </w:tc>
        <w:tc>
          <w:tcPr>
            <w:tcW w:w="4346" w:type="dxa"/>
            <w:noWrap w:val="0"/>
            <w:vAlign w:val="top"/>
          </w:tcPr>
          <w:p w14:paraId="0EA494A4">
            <w:pPr>
              <w:rPr>
                <w:rFonts w:hint="eastAsia"/>
              </w:rPr>
            </w:pPr>
            <w:r>
              <w:rPr>
                <w:rFonts w:hint="eastAsia"/>
              </w:rPr>
              <w:t>用户进入系统的入口，验证身份。成功后跳转至主控台视图</w:t>
            </w:r>
          </w:p>
        </w:tc>
      </w:tr>
      <w:tr w14:paraId="58E8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003BB1DA">
            <w:pPr>
              <w:rPr>
                <w:rFonts w:hint="eastAsia"/>
              </w:rPr>
            </w:pPr>
            <w:r>
              <w:rPr>
                <w:rFonts w:hint="eastAsia"/>
              </w:rPr>
              <w:t>主控台视图</w:t>
            </w:r>
          </w:p>
        </w:tc>
        <w:tc>
          <w:tcPr>
            <w:tcW w:w="3060" w:type="dxa"/>
            <w:noWrap w:val="0"/>
            <w:vAlign w:val="top"/>
          </w:tcPr>
          <w:p w14:paraId="126AD1FC">
            <w:pPr>
              <w:rPr>
                <w:rFonts w:hint="eastAsia"/>
              </w:rPr>
            </w:pPr>
            <w:r>
              <w:rPr>
                <w:rFonts w:hint="eastAsia"/>
              </w:rPr>
              <w:t>DashboardView</w:t>
            </w:r>
          </w:p>
        </w:tc>
        <w:tc>
          <w:tcPr>
            <w:tcW w:w="4346" w:type="dxa"/>
            <w:noWrap w:val="0"/>
            <w:vAlign w:val="top"/>
          </w:tcPr>
          <w:p w14:paraId="42F95F11">
            <w:pPr>
              <w:rPr>
                <w:rFonts w:hint="eastAsia"/>
              </w:rPr>
            </w:pPr>
            <w:r>
              <w:rPr>
                <w:rFonts w:hint="eastAsia"/>
              </w:rPr>
              <w:t>登录后的默认首页，展示数据统计面板和快捷操作入口</w:t>
            </w:r>
          </w:p>
        </w:tc>
      </w:tr>
      <w:tr w14:paraId="4AF2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0C9096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基础参数视图 </w:t>
            </w:r>
          </w:p>
        </w:tc>
        <w:tc>
          <w:tcPr>
            <w:tcW w:w="3060" w:type="dxa"/>
            <w:noWrap w:val="0"/>
            <w:vAlign w:val="top"/>
          </w:tcPr>
          <w:p w14:paraId="15A049EF">
            <w:r>
              <w:rPr>
                <w:rFonts w:hint="eastAsia"/>
              </w:rPr>
              <w:t>BasicParamView</w:t>
            </w:r>
          </w:p>
        </w:tc>
        <w:tc>
          <w:tcPr>
            <w:tcW w:w="4346" w:type="dxa"/>
            <w:noWrap w:val="0"/>
            <w:vAlign w:val="top"/>
          </w:tcPr>
          <w:p w14:paraId="61C2B6F2">
            <w:pPr>
              <w:rPr>
                <w:rFonts w:hint="eastAsia"/>
              </w:rPr>
            </w:pPr>
            <w:r>
              <w:rPr>
                <w:rFonts w:hint="eastAsia"/>
              </w:rPr>
              <w:t>用于配置公司、配气站、小区、气价、表具型号等底层字典数据</w:t>
            </w:r>
          </w:p>
        </w:tc>
      </w:tr>
      <w:tr w14:paraId="4040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2A2C4D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户档表卡视图 </w:t>
            </w:r>
          </w:p>
        </w:tc>
        <w:tc>
          <w:tcPr>
            <w:tcW w:w="3060" w:type="dxa"/>
            <w:noWrap w:val="0"/>
            <w:vAlign w:val="top"/>
          </w:tcPr>
          <w:p w14:paraId="267EFBDF">
            <w:r>
              <w:rPr>
                <w:rFonts w:hint="eastAsia"/>
              </w:rPr>
              <w:t>ArchiveView</w:t>
            </w:r>
          </w:p>
        </w:tc>
        <w:tc>
          <w:tcPr>
            <w:tcW w:w="4346" w:type="dxa"/>
            <w:noWrap w:val="0"/>
            <w:vAlign w:val="top"/>
          </w:tcPr>
          <w:p w14:paraId="02B4E27C">
            <w:pPr>
              <w:rPr>
                <w:rFonts w:hint="eastAsia"/>
              </w:rPr>
            </w:pPr>
            <w:r>
              <w:rPr>
                <w:rFonts w:hint="eastAsia"/>
              </w:rPr>
              <w:t>管理居民信息及对应绑定的智能表和IC卡设备</w:t>
            </w:r>
          </w:p>
        </w:tc>
      </w:tr>
      <w:tr w14:paraId="1630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571A85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业务操作视图 </w:t>
            </w:r>
          </w:p>
        </w:tc>
        <w:tc>
          <w:tcPr>
            <w:tcW w:w="3060" w:type="dxa"/>
            <w:noWrap w:val="0"/>
            <w:vAlign w:val="top"/>
          </w:tcPr>
          <w:p w14:paraId="7B61937A">
            <w:r>
              <w:rPr>
                <w:rFonts w:hint="eastAsia"/>
              </w:rPr>
              <w:t>BusinessOptView</w:t>
            </w:r>
          </w:p>
        </w:tc>
        <w:tc>
          <w:tcPr>
            <w:tcW w:w="4346" w:type="dxa"/>
            <w:noWrap w:val="0"/>
            <w:vAlign w:val="top"/>
          </w:tcPr>
          <w:p w14:paraId="6DB90FE4">
            <w:pPr>
              <w:rPr>
                <w:rFonts w:hint="eastAsia"/>
              </w:rPr>
            </w:pPr>
            <w:r>
              <w:rPr>
                <w:rFonts w:hint="eastAsia"/>
              </w:rPr>
              <w:t>执行抄表录入、换表、充值、退气等高频动态业务，与户档视图紧密关联</w:t>
            </w:r>
          </w:p>
        </w:tc>
      </w:tr>
      <w:tr w14:paraId="61B5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674132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财务账单视图 </w:t>
            </w:r>
          </w:p>
        </w:tc>
        <w:tc>
          <w:tcPr>
            <w:tcW w:w="3060" w:type="dxa"/>
            <w:noWrap w:val="0"/>
            <w:vAlign w:val="top"/>
          </w:tcPr>
          <w:p w14:paraId="60C6E27C">
            <w:r>
              <w:rPr>
                <w:rFonts w:hint="eastAsia"/>
              </w:rPr>
              <w:t>FinanceBillView</w:t>
            </w:r>
          </w:p>
        </w:tc>
        <w:tc>
          <w:tcPr>
            <w:tcW w:w="4346" w:type="dxa"/>
            <w:noWrap w:val="0"/>
            <w:vAlign w:val="top"/>
          </w:tcPr>
          <w:p w14:paraId="4967A585">
            <w:pPr>
              <w:rPr>
                <w:rFonts w:hint="eastAsia"/>
              </w:rPr>
            </w:pPr>
            <w:r>
              <w:rPr>
                <w:rFonts w:hint="eastAsia"/>
              </w:rPr>
              <w:t>生成并管理气费账单，记录滞纳金、缴费情况及对账单</w:t>
            </w:r>
          </w:p>
        </w:tc>
      </w:tr>
      <w:tr w14:paraId="3B95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2EA17839">
            <w:pPr>
              <w:rPr>
                <w:rFonts w:hint="eastAsia"/>
              </w:rPr>
            </w:pPr>
            <w:r>
              <w:rPr>
                <w:rFonts w:hint="eastAsia"/>
              </w:rPr>
              <w:t>系统管理视图</w:t>
            </w:r>
          </w:p>
        </w:tc>
        <w:tc>
          <w:tcPr>
            <w:tcW w:w="3060" w:type="dxa"/>
            <w:noWrap w:val="0"/>
            <w:vAlign w:val="top"/>
          </w:tcPr>
          <w:p w14:paraId="1C6786FA">
            <w:r>
              <w:rPr>
                <w:rFonts w:hint="eastAsia"/>
              </w:rPr>
              <w:t>SysAdminView</w:t>
            </w:r>
          </w:p>
        </w:tc>
        <w:tc>
          <w:tcPr>
            <w:tcW w:w="4346" w:type="dxa"/>
            <w:noWrap w:val="0"/>
            <w:vAlign w:val="top"/>
          </w:tcPr>
          <w:p w14:paraId="7809DBF6">
            <w:pPr>
              <w:rPr>
                <w:rFonts w:hint="eastAsia"/>
              </w:rPr>
            </w:pPr>
            <w:r>
              <w:rPr>
                <w:rFonts w:hint="eastAsia"/>
              </w:rPr>
              <w:t>管理部门、角色、内部人员及查阅操作日志</w:t>
            </w:r>
          </w:p>
        </w:tc>
      </w:tr>
    </w:tbl>
    <w:p w14:paraId="34FF5D45">
      <w:pPr>
        <w:pStyle w:val="2"/>
        <w:rPr>
          <w:rFonts w:hint="eastAsia"/>
        </w:rPr>
      </w:pPr>
      <w:bookmarkStart w:id="10" w:name="_Toc106954234"/>
      <w:bookmarkStart w:id="11" w:name="_Toc15051"/>
      <w:r>
        <w:rPr>
          <w:rFonts w:hint="eastAsia"/>
        </w:rPr>
        <w:t>3. 主界面设计</w:t>
      </w:r>
      <w:bookmarkEnd w:id="10"/>
      <w:bookmarkEnd w:id="11"/>
    </w:p>
    <w:p w14:paraId="3F143057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界面结构划分：</w:t>
      </w:r>
    </w:p>
    <w:p w14:paraId="314509BD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整个系统的主界面采用典型的上下+左右结构（后台管理系统经典骨架）：</w:t>
      </w:r>
    </w:p>
    <w:p w14:paraId="3D0CCFAC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顶部栏 (Header)： 左侧显示系统Logo与名称“智能燃气巡检管理平台”；右侧显示当前登录用户头像、姓名、通知图标及“退出登录”按钮。</w:t>
      </w:r>
    </w:p>
    <w:p w14:paraId="3E99232B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左侧导航栏 (Sidebar)： 树形垂直菜单，包含：首页、组织管理（部门管理、角色管理、用户管理）、建户立档（巡检人员管理、燃气用户管理）、入户安检（巡检日程表、燃气巡检计划、隐患管理）、系统设置。支持折叠展开以扩大操作区域。</w:t>
      </w:r>
    </w:p>
    <w:p w14:paraId="00A13339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内容展示区 (Main Content)： 位于右侧主体部分。顶部包含面包屑导航（如：首页 &gt; 建户立档 &gt; 巡检人员管理）和多页签（Tabs，方便同时打开多个业务页面）。下方为具体业务的数据表格或表单区域。</w:t>
      </w:r>
    </w:p>
    <w:p w14:paraId="677A74A9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底部栏 (Footer)： 悬浮或固定在最底部，显示版权信息及系统版本号。</w:t>
      </w:r>
    </w:p>
    <w:p w14:paraId="04F71169">
      <w:pPr>
        <w:rPr>
          <w:rFonts w:hint="eastAsia"/>
        </w:rPr>
      </w:pPr>
    </w:p>
    <w:p w14:paraId="544A794F">
      <w:pPr>
        <w:pStyle w:val="2"/>
        <w:rPr>
          <w:rFonts w:hint="eastAsia"/>
        </w:rPr>
      </w:pPr>
      <w:bookmarkStart w:id="12" w:name="_Toc106954235"/>
      <w:bookmarkStart w:id="13" w:name="_Toc30309"/>
      <w:r>
        <w:rPr>
          <w:rFonts w:hint="eastAsia"/>
        </w:rPr>
        <w:t>4. 子界面设计</w:t>
      </w:r>
      <w:bookmarkEnd w:id="12"/>
      <w:bookmarkEnd w:id="13"/>
    </w:p>
    <w:p w14:paraId="4910AE2D">
      <w:pPr>
        <w:pStyle w:val="3"/>
        <w:rPr>
          <w:rFonts w:hint="eastAsia"/>
        </w:rPr>
      </w:pPr>
      <w:bookmarkStart w:id="14" w:name="_Toc106954236"/>
      <w:bookmarkStart w:id="15" w:name="_Toc3635"/>
      <w:r>
        <w:rPr>
          <w:rFonts w:hint="eastAsia"/>
        </w:rPr>
        <w:t>4.1.</w:t>
      </w:r>
      <w:bookmarkEnd w:id="14"/>
      <w:r>
        <w:rPr>
          <w:rFonts w:hint="eastAsia"/>
        </w:rPr>
        <w:t>登录页面</w:t>
      </w:r>
      <w:bookmarkEnd w:id="15"/>
    </w:p>
    <w:p w14:paraId="2476AA8A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页面背景为科技风背景图。中间为居中的登录卡片（Login Card）。</w:t>
      </w:r>
    </w:p>
    <w:p w14:paraId="6EEE6BC1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功能组件：</w:t>
      </w:r>
    </w:p>
    <w:p w14:paraId="4B473D37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网站Logo与标题。</w:t>
      </w:r>
    </w:p>
    <w:p w14:paraId="186BFD57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用户名输入框（带User图标提示）。</w:t>
      </w:r>
    </w:p>
    <w:p w14:paraId="30852A26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密码输入框（带锁图标，支持密码明文/密文切换）。</w:t>
      </w:r>
    </w:p>
    <w:p w14:paraId="2FF31128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验证码输入框及滑动/图片验证码。</w:t>
      </w:r>
    </w:p>
    <w:p w14:paraId="15540B4B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登录按钮（Enter键触发表单提交）。</w:t>
      </w:r>
    </w:p>
    <w:p w14:paraId="04E661C7">
      <w:pPr>
        <w:spacing w:line="360" w:lineRule="auto"/>
        <w:ind w:firstLine="480" w:firstLineChars="200"/>
        <w:rPr>
          <w:rFonts w:hint="eastAsia"/>
          <w:i/>
          <w:color w:val="0000FF"/>
        </w:rPr>
      </w:pPr>
      <w:r>
        <w:rPr>
          <w:rFonts w:hint="eastAsia" w:ascii="宋体" w:hAnsi="宋体"/>
          <w:color w:val="000000"/>
          <w:sz w:val="24"/>
        </w:rPr>
        <w:t>扩展交互： 即时检查用户名/密码格式；若输入错误，输入框边框标红并出现提示气泡。</w:t>
      </w:r>
    </w:p>
    <w:p w14:paraId="0A0D9596">
      <w:pPr>
        <w:pStyle w:val="3"/>
        <w:rPr>
          <w:rFonts w:hint="eastAsia"/>
        </w:rPr>
      </w:pPr>
      <w:bookmarkStart w:id="16" w:name="_Toc106954237"/>
      <w:bookmarkStart w:id="17" w:name="_Toc30306"/>
      <w:r>
        <w:rPr>
          <w:rFonts w:hint="eastAsia"/>
        </w:rPr>
        <w:t xml:space="preserve">4.2. </w:t>
      </w:r>
      <w:bookmarkEnd w:id="16"/>
      <w:r>
        <w:rPr>
          <w:rFonts w:hint="eastAsia"/>
        </w:rPr>
        <w:t>登录页面</w:t>
      </w:r>
      <w:bookmarkEnd w:id="17"/>
    </w:p>
    <w:p w14:paraId="2C23B843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划分为多个数据卡片（Cards）模块。</w:t>
      </w:r>
    </w:p>
    <w:p w14:paraId="3C93F623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展示内容：</w:t>
      </w:r>
    </w:p>
    <w:p w14:paraId="784EBE4C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核心数据总览：累计巡检人员数、累计燃气用户数、当日巡检计划数、本月隐患数。</w:t>
      </w:r>
    </w:p>
    <w:p w14:paraId="41FDA4B7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快捷入口：常用操作的快捷按钮（如：新增巡检人员、新增燃气用户、创建巡检计划）。</w:t>
      </w:r>
    </w:p>
    <w:p w14:paraId="17B9BAEA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图表展示：采用ECharts渲染的折线图（近7天巡检计划数趋势）与饼图（各班组巡检人员分布比例）。</w:t>
      </w:r>
    </w:p>
    <w:p w14:paraId="4FB517DD">
      <w:pPr>
        <w:pStyle w:val="3"/>
        <w:rPr>
          <w:rFonts w:hint="eastAsia"/>
        </w:rPr>
      </w:pPr>
      <w:bookmarkStart w:id="18" w:name="_Toc16571"/>
      <w:r>
        <w:rPr>
          <w:rFonts w:hint="eastAsia"/>
        </w:rPr>
        <w:t>4.3. 组织管理页面</w:t>
      </w:r>
      <w:bookmarkEnd w:id="18"/>
    </w:p>
    <w:p w14:paraId="12BF838B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“左树右表”布局。</w:t>
      </w:r>
    </w:p>
    <w:p w14:paraId="38503C68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功能描述： 以“小区信息管理”为例，左侧树形结构展示“区域-&gt;片区”，点击相应片区，右侧表格更新显示该片区下的配气站和小区列表。</w:t>
      </w:r>
    </w:p>
    <w:p w14:paraId="5027AE3D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页面组件： 顶部为“新增/编辑/删除”按钮和条件搜索栏；主体为数据表格；表格末尾列有“操作”按钮组；底部有分页器（Pagination）。</w:t>
      </w:r>
    </w:p>
    <w:p w14:paraId="560DDBF7">
      <w:pPr>
        <w:pStyle w:val="3"/>
        <w:rPr>
          <w:rFonts w:hint="eastAsia"/>
        </w:rPr>
      </w:pPr>
      <w:bookmarkStart w:id="19" w:name="_Toc25583"/>
      <w:r>
        <w:rPr>
          <w:rFonts w:hint="eastAsia"/>
        </w:rPr>
        <w:t>4.4. 建户立档页面</w:t>
      </w:r>
      <w:bookmarkEnd w:id="19"/>
    </w:p>
    <w:p w14:paraId="766F4C97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复杂表单与数据表格结合页面。</w:t>
      </w:r>
    </w:p>
    <w:p w14:paraId="3F5E9DD5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功能描述：</w:t>
      </w:r>
    </w:p>
    <w:p w14:paraId="049A4BD7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巡检人员管理：显示巡检人员姓名、电话、班组、照片。</w:t>
      </w:r>
    </w:p>
    <w:p w14:paraId="7BE264CB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燃气用户管理：显示用户户号、姓名、地址、联系方式、用气类型。支持高德地图地址选择器。</w:t>
      </w:r>
    </w:p>
    <w:p w14:paraId="5434329E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核心交互： 提供“绑表”、“开卡”、“报停”等操作按钮，点击后弹出相应的信息补全表单。</w:t>
      </w:r>
    </w:p>
    <w:p w14:paraId="4B894D1C">
      <w:pPr>
        <w:pStyle w:val="3"/>
        <w:rPr>
          <w:rFonts w:hint="eastAsia"/>
        </w:rPr>
      </w:pPr>
      <w:bookmarkStart w:id="20" w:name="_Toc4808"/>
      <w:r>
        <w:rPr>
          <w:rFonts w:hint="eastAsia"/>
        </w:rPr>
        <w:t>4.5. 巡检计划管理页面</w:t>
      </w:r>
      <w:bookmarkEnd w:id="20"/>
    </w:p>
    <w:p w14:paraId="5BDBDCDB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分栏式任务面板。</w:t>
      </w:r>
    </w:p>
    <w:p w14:paraId="6643E046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功能描述：</w:t>
      </w:r>
    </w:p>
    <w:p w14:paraId="2CD1EB44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巡检日程表：以日历形式展示一周内各班组的巡检安排，显示巡检员和人数。</w:t>
      </w:r>
    </w:p>
    <w:p w14:paraId="5A97A2FC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燃气巡检计划：标准CRUD表格，新增弹窗含班组选择、巡检员选择、日期选择、最大人数设置、实际人数显示。</w:t>
      </w:r>
    </w:p>
    <w:p w14:paraId="65D2150C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隐患管理：表格+隐患照片展示，整改状态标签，整改指派弹窗。</w:t>
      </w:r>
    </w:p>
    <w:p w14:paraId="5E2C2D9B">
      <w:pPr>
        <w:rPr>
          <w:rFonts w:hint="eastAsia"/>
        </w:rPr>
      </w:pPr>
    </w:p>
    <w:p w14:paraId="622249C6">
      <w:pPr>
        <w:pStyle w:val="3"/>
        <w:rPr>
          <w:rFonts w:hint="eastAsia" w:ascii="宋体" w:hAnsi="宋体"/>
          <w:color w:val="000000"/>
          <w:sz w:val="24"/>
        </w:rPr>
      </w:pPr>
      <w:bookmarkStart w:id="21" w:name="_Toc8013"/>
      <w:r>
        <w:rPr>
          <w:rFonts w:hint="eastAsia"/>
        </w:rPr>
        <w:t>4.6. 隐患管理页面</w:t>
      </w:r>
      <w:bookmarkEnd w:id="21"/>
    </w:p>
    <w:p w14:paraId="4744D3B1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表格+隐患照片展示，整改状态标签。</w:t>
      </w:r>
    </w:p>
    <w:p w14:paraId="59319BE6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功能描述： 隐患管理的核心区域。</w:t>
      </w:r>
    </w:p>
    <w:p w14:paraId="2686F06F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查询条件：隐患类型、隐患等级、整改状态、地址。</w:t>
      </w:r>
    </w:p>
    <w:p w14:paraId="5DCE743D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隐患列表：展示隐患类型、等级、地址、照片、整改状态、整改人。</w:t>
      </w:r>
    </w:p>
    <w:p w14:paraId="11FDEA62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操作面板： 提供“账单计算”、“重新计算滞纳金”、“标记为已缴费”、“打印对账单发票”等功能。</w:t>
      </w:r>
    </w:p>
    <w:p w14:paraId="0A88AB54">
      <w:pPr>
        <w:pStyle w:val="3"/>
        <w:rPr>
          <w:rFonts w:hint="eastAsia"/>
        </w:rPr>
      </w:pPr>
      <w:bookmarkStart w:id="22" w:name="_Toc18241"/>
      <w:r>
        <w:rPr>
          <w:rFonts w:hint="eastAsia"/>
        </w:rPr>
        <w:t>4.7. 小程序端页面</w:t>
      </w:r>
      <w:bookmarkEnd w:id="22"/>
    </w:p>
    <w:p w14:paraId="566ADE69">
      <w:pPr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视觉布局： 微信小程序端页面，采用UniApp+uView UI构建。</w:t>
      </w:r>
    </w:p>
    <w:p w14:paraId="1EB1115E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color w:val="000000"/>
          <w:sz w:val="24"/>
        </w:rPr>
        <w:t>包含模块：巡检日程查看（日历视图）、入户巡检执行（表单填写+照片上传）、隐患整改提交（照片/视频上传）。</w:t>
      </w:r>
    </w:p>
    <w:p w14:paraId="7EE9E47F">
      <w:pPr>
        <w:pStyle w:val="2"/>
        <w:rPr>
          <w:rFonts w:hint="eastAsia"/>
        </w:rPr>
      </w:pPr>
      <w:bookmarkStart w:id="23" w:name="_Toc23752"/>
      <w:bookmarkStart w:id="24" w:name="_Toc106954239"/>
      <w:r>
        <w:rPr>
          <w:rFonts w:hint="eastAsia"/>
        </w:rPr>
        <w:t>5. 美学设计</w:t>
      </w:r>
      <w:bookmarkEnd w:id="23"/>
    </w:p>
    <w:p w14:paraId="1381B762">
      <w:r>
        <w:rPr>
          <w:rFonts w:hint="eastAsia"/>
        </w:rPr>
        <w:tab/>
      </w:r>
      <w:r>
        <w:rPr>
          <w:rFonts w:hint="eastAsia" w:ascii="宋体" w:hAnsi="宋体"/>
          <w:color w:val="000000"/>
          <w:sz w:val="24"/>
        </w:rPr>
        <w:t>无</w:t>
      </w:r>
    </w:p>
    <w:p w14:paraId="74FD2458">
      <w:pPr>
        <w:pStyle w:val="2"/>
        <w:rPr>
          <w:rFonts w:hint="eastAsia"/>
        </w:rPr>
      </w:pPr>
      <w:bookmarkStart w:id="25" w:name="_Toc21053"/>
      <w:r>
        <w:rPr>
          <w:rFonts w:hint="eastAsia"/>
        </w:rPr>
        <w:t>6. 界面资源设计</w:t>
      </w:r>
      <w:bookmarkEnd w:id="25"/>
    </w:p>
    <w:p w14:paraId="7A032CE8">
      <w:pPr>
        <w:pStyle w:val="3"/>
        <w:rPr>
          <w:rFonts w:hint="eastAsia"/>
        </w:rPr>
      </w:pPr>
      <w:bookmarkStart w:id="26" w:name="_Toc30000"/>
      <w:r>
        <w:rPr>
          <w:rFonts w:hint="eastAsia"/>
        </w:rPr>
        <w:t>6.1 图标资源</w:t>
      </w:r>
      <w:bookmarkEnd w:id="26"/>
    </w:p>
    <w:p w14:paraId="12A3296F">
      <w:pPr>
        <w:rPr>
          <w:rFonts w:hint="eastAsia"/>
        </w:rPr>
      </w:pPr>
      <w:r>
        <w:rPr>
          <w:rFonts w:hint="eastAsia"/>
        </w:rPr>
        <w:t>无</w:t>
      </w:r>
    </w:p>
    <w:p w14:paraId="09C9CA93">
      <w:pPr>
        <w:pStyle w:val="3"/>
        <w:rPr>
          <w:rFonts w:hint="eastAsia"/>
        </w:rPr>
      </w:pPr>
      <w:bookmarkStart w:id="27" w:name="_Toc21014"/>
      <w:r>
        <w:rPr>
          <w:rFonts w:hint="eastAsia"/>
        </w:rPr>
        <w:t>6.2 图象资源</w:t>
      </w:r>
      <w:bookmarkEnd w:id="27"/>
    </w:p>
    <w:p w14:paraId="438866F0">
      <w:pPr>
        <w:rPr>
          <w:rFonts w:hint="eastAsia"/>
        </w:rPr>
      </w:pPr>
      <w:r>
        <w:rPr>
          <w:rFonts w:hint="eastAsia"/>
        </w:rPr>
        <w:t>无</w:t>
      </w:r>
    </w:p>
    <w:p w14:paraId="313241B9">
      <w:pPr>
        <w:pStyle w:val="3"/>
        <w:rPr>
          <w:rFonts w:hint="eastAsia"/>
        </w:rPr>
      </w:pPr>
      <w:bookmarkStart w:id="28" w:name="_Toc15125"/>
      <w:r>
        <w:rPr>
          <w:rFonts w:hint="eastAsia"/>
        </w:rPr>
        <w:t>6.3 界面组件</w:t>
      </w:r>
      <w:bookmarkEnd w:id="28"/>
    </w:p>
    <w:p w14:paraId="3A16F265">
      <w:pPr>
        <w:rPr>
          <w:rFonts w:hint="eastAsia"/>
        </w:rPr>
      </w:pPr>
      <w:r>
        <w:rPr>
          <w:rFonts w:hint="eastAsia"/>
        </w:rPr>
        <w:t>无</w:t>
      </w:r>
    </w:p>
    <w:p w14:paraId="376CB815">
      <w:pPr>
        <w:pStyle w:val="2"/>
        <w:numPr>
          <w:ilvl w:val="0"/>
          <w:numId w:val="1"/>
        </w:numPr>
        <w:rPr>
          <w:rFonts w:hint="eastAsia"/>
        </w:rPr>
      </w:pPr>
      <w:bookmarkStart w:id="29" w:name="_Toc20020"/>
      <w:r>
        <w:rPr>
          <w:rFonts w:hint="eastAsia"/>
        </w:rPr>
        <w:t>其他</w:t>
      </w:r>
      <w:bookmarkEnd w:id="24"/>
      <w:bookmarkEnd w:id="29"/>
    </w:p>
    <w:p w14:paraId="3E2CA4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表单校验交互：前端界面需加入严格的表单校验。凡带红色星号（*）的必填项（如巡检人员姓名、燃气用户地址等）未填，或格式错误（如手机号正则验证失败），则无法点击提交按钮。</w:t>
      </w:r>
    </w:p>
    <w:p w14:paraId="2973E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防重复提交：巡检相关的点击操作（如提交巡检记录、提交隐患整改），按钮在点击后必须立刻变为Loading状态并置灰，防止用户因网络延迟多次点击导致脏数据产生。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18390">
    <w:pPr>
      <w:pStyle w:val="7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97F3">
    <w:pPr>
      <w:pStyle w:val="8"/>
      <w:pBdr>
        <w:bottom w:val="none" w:color="auto" w:sz="0" w:space="0"/>
      </w:pBdr>
      <w:jc w:val="both"/>
      <w:rPr>
        <w:rFonts w:hint="eastAsia" w:eastAsia="楷体_GB2312"/>
        <w:sz w:val="21"/>
        <w:szCs w:val="21"/>
      </w:rPr>
    </w:pPr>
    <w:r>
      <w:rPr>
        <w:rFonts w:ascii="宋体" w:hAnsi="宋体" w:cs="宋体"/>
        <w:kern w:val="0"/>
        <w:sz w:val="24"/>
      </w:rPr>
      <w:pict>
        <v:shape id="_x0000_i1025" o:spt="75" alt="说明: C:\Users\lyh\Documents\Tencent Files\7357220\Image\C2C\2W[O)P}3L(A%`~{CD6_TTDJ.png" type="#_x0000_t75" style="height:29.9pt;width:134.8pt;" filled="f" stroked="f" coordsize="21600,21600">
          <v:path/>
          <v:fill on="f" focussize="0,0"/>
          <v:stroke on="f"/>
          <v:imagedata r:id="rId1" o:title="2W[O)P}3L(A%`~{CD6_TTDJ"/>
          <o:lock v:ext="edit" grouping="f" aspectratio="t"/>
          <w10:wrap type="none"/>
          <w10:anchorlock/>
        </v:shape>
      </w:pict>
    </w:r>
    <w:r>
      <w:rPr>
        <w:rFonts w:hint="eastAsia" w:eastAsia="楷体_GB2312"/>
        <w:sz w:val="24"/>
      </w:rPr>
      <w:t xml:space="preserve">                        </w:t>
    </w:r>
    <w:r>
      <w:rPr>
        <w:rFonts w:hint="eastAsia" w:eastAsia="楷体_GB2312"/>
        <w:sz w:val="21"/>
        <w:szCs w:val="21"/>
      </w:rPr>
      <w:t xml:space="preserve">   </w:t>
    </w:r>
    <w:r>
      <w:rPr>
        <w:rFonts w:hint="eastAsia" w:eastAsia="楷体_GB2312"/>
        <w:sz w:val="21"/>
        <w:szCs w:val="21"/>
      </w:rPr>
      <w:tab/>
    </w:r>
    <w:r>
      <w:rPr>
        <w:rFonts w:hint="eastAsia" w:eastAsia="楷体_GB2312"/>
        <w:sz w:val="21"/>
        <w:szCs w:val="21"/>
      </w:rPr>
      <w:t xml:space="preserve">     软件开发——用户界面设计报告</w:t>
    </w:r>
  </w:p>
  <w:p w14:paraId="27260D41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w:pict>
        <v:line id="_x0000_s4097" o:spid="_x0000_s4097" o:spt="20" style="position:absolute;left:0pt;margin-left:0pt;margin-top:2.55pt;height:0pt;width:486pt;z-index:251659264;mso-width-relative:page;mso-height-relative:page;" filled="f" coordsize="21600,21600">
          <v:path arrowok="t"/>
          <v:fill on="f" focussize="0,0"/>
          <v:stroke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A31FC"/>
    <w:multiLevelType w:val="singleLevel"/>
    <w:tmpl w:val="C71A31FC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5CE7"/>
    <w:rsid w:val="00011434"/>
    <w:rsid w:val="00100989"/>
    <w:rsid w:val="0012173B"/>
    <w:rsid w:val="001274EB"/>
    <w:rsid w:val="001A5B79"/>
    <w:rsid w:val="001A6085"/>
    <w:rsid w:val="001D10B6"/>
    <w:rsid w:val="002B5EEC"/>
    <w:rsid w:val="002E16AC"/>
    <w:rsid w:val="00301612"/>
    <w:rsid w:val="00360114"/>
    <w:rsid w:val="00362599"/>
    <w:rsid w:val="003A0686"/>
    <w:rsid w:val="003A207B"/>
    <w:rsid w:val="00423555"/>
    <w:rsid w:val="00430E75"/>
    <w:rsid w:val="004526BE"/>
    <w:rsid w:val="004779C0"/>
    <w:rsid w:val="00497A8B"/>
    <w:rsid w:val="004E0334"/>
    <w:rsid w:val="004F7BF1"/>
    <w:rsid w:val="00543C7D"/>
    <w:rsid w:val="005472A1"/>
    <w:rsid w:val="005544B2"/>
    <w:rsid w:val="00561E86"/>
    <w:rsid w:val="00580533"/>
    <w:rsid w:val="005A17EF"/>
    <w:rsid w:val="005A51F9"/>
    <w:rsid w:val="005B49C1"/>
    <w:rsid w:val="00606B32"/>
    <w:rsid w:val="00620943"/>
    <w:rsid w:val="00644D9C"/>
    <w:rsid w:val="006547D2"/>
    <w:rsid w:val="006647A6"/>
    <w:rsid w:val="00670446"/>
    <w:rsid w:val="0067629B"/>
    <w:rsid w:val="006A08EB"/>
    <w:rsid w:val="006B2562"/>
    <w:rsid w:val="006B752F"/>
    <w:rsid w:val="006C0D87"/>
    <w:rsid w:val="006C630A"/>
    <w:rsid w:val="006D2F80"/>
    <w:rsid w:val="006E088B"/>
    <w:rsid w:val="006E0AB4"/>
    <w:rsid w:val="006F5608"/>
    <w:rsid w:val="00747181"/>
    <w:rsid w:val="007915B5"/>
    <w:rsid w:val="007A1C25"/>
    <w:rsid w:val="007B661C"/>
    <w:rsid w:val="007F26EB"/>
    <w:rsid w:val="007F7488"/>
    <w:rsid w:val="00831ABD"/>
    <w:rsid w:val="0089155F"/>
    <w:rsid w:val="008A3F9D"/>
    <w:rsid w:val="008D31BD"/>
    <w:rsid w:val="008F396E"/>
    <w:rsid w:val="00955CE7"/>
    <w:rsid w:val="009A3868"/>
    <w:rsid w:val="009B7403"/>
    <w:rsid w:val="009C1B87"/>
    <w:rsid w:val="009C510D"/>
    <w:rsid w:val="009C6602"/>
    <w:rsid w:val="009E1B53"/>
    <w:rsid w:val="009F20BC"/>
    <w:rsid w:val="009F4C8C"/>
    <w:rsid w:val="00A10DEB"/>
    <w:rsid w:val="00A53029"/>
    <w:rsid w:val="00A5416A"/>
    <w:rsid w:val="00AB53BC"/>
    <w:rsid w:val="00AB7620"/>
    <w:rsid w:val="00B060C0"/>
    <w:rsid w:val="00B203A2"/>
    <w:rsid w:val="00B9398D"/>
    <w:rsid w:val="00BA7EB5"/>
    <w:rsid w:val="00BE25DD"/>
    <w:rsid w:val="00C54695"/>
    <w:rsid w:val="00C56B0F"/>
    <w:rsid w:val="00C56CF4"/>
    <w:rsid w:val="00C77500"/>
    <w:rsid w:val="00C96095"/>
    <w:rsid w:val="00CC7E91"/>
    <w:rsid w:val="00D80E9C"/>
    <w:rsid w:val="00DB1733"/>
    <w:rsid w:val="00DE20DB"/>
    <w:rsid w:val="00E15B81"/>
    <w:rsid w:val="00E3347A"/>
    <w:rsid w:val="00E36F8F"/>
    <w:rsid w:val="00E67886"/>
    <w:rsid w:val="00E7520A"/>
    <w:rsid w:val="00EA1477"/>
    <w:rsid w:val="00F216EA"/>
    <w:rsid w:val="00F315AF"/>
    <w:rsid w:val="00F45263"/>
    <w:rsid w:val="00F46E43"/>
    <w:rsid w:val="00F50F68"/>
    <w:rsid w:val="00F56B5C"/>
    <w:rsid w:val="00F64B2D"/>
    <w:rsid w:val="00FE466E"/>
    <w:rsid w:val="06A37628"/>
    <w:rsid w:val="082118E1"/>
    <w:rsid w:val="52844703"/>
    <w:rsid w:val="6C7D4A13"/>
    <w:rsid w:val="70734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semiHidden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2717</Words>
  <Characters>3072</Characters>
  <Lines>40</Lines>
  <Paragraphs>11</Paragraphs>
  <TotalTime>21</TotalTime>
  <ScaleCrop>false</ScaleCrop>
  <LinksUpToDate>false</LinksUpToDate>
  <CharactersWithSpaces>3245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青木</cp:lastModifiedBy>
  <dcterms:modified xsi:type="dcterms:W3CDTF">2026-04-29T08:56:43Z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eyJoZGlkIjoiZjJlMzllMTZjMGI4YjNlMTI4ZmJlYzUwMWIxYjE5ODgiLCJ1c2VySWQiOiIxNTQ0OTcyNTQ1In0=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FC3A4FEC0AD5449FBD119C8BE2D15C49_13</vt:lpwstr>
  </property>
</Properties>
</file>