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智慧教育平台</w:t>
        <w:br/>
        <w:t>开发需求说明书</w:t>
      </w:r>
    </w:p>
    <w:p>
      <w:pPr>
        <w:pStyle w:val="Subtitle"/>
        <w:snapToGrid w:val="0"/>
      </w:pPr>
      <w:r>
        <w:t>基于 RuoYi Vue3 与 Spring Boot 3 的业务扩展</w:t>
      </w:r>
    </w:p>
    <w:p>
      <w:r>
        <w:rPr>
          <w:b w:val="0"/>
        </w:rPr>
        <w:t>版本 V1.1    修订日期 2026年10月23日    状态 开发评审版</w:t>
      </w:r>
    </w:p>
    <w:p>
      <w:r>
        <w:rPr>
          <w:b w:val="0"/>
        </w:rPr>
        <w:t>本说明书用于统一教育后台、课件与游戏接入的业务模型、权限边界、数据结构和验收标准。第一期先完成可运行的基础平台、课件管理、游戏管理及安全访问闭环；激活码、课堂PK和AI配音按阶段交付。</w:t>
      </w:r>
    </w:p>
    <w:p>
      <w:r>
        <w:rPr>
          <w:b w:val="0"/>
        </w:rPr>
        <w:t>本版保留V1.0的组织账号、学科课件、配音、课堂积分和激活码业务，修正原生能力描述及相互冲突的规则，补充游戏目录、授权记录、班级历史和可验证的验收要求。实施前仍须完成第十八章列出的业务确认。</w:t>
      </w:r>
    </w:p>
    <w:p>
      <w:pPr>
        <w:pStyle w:val="Heading2"/>
        <w:snapToGrid w:val="0"/>
      </w:pPr>
      <w:r>
        <w:t>本版主要修订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type="dxa" w:w="793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修订结果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框架与前端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明确使用官方 Vue3 与 Element Plus，替代早期 React 方案；后端固定 Spring Boot 3 分支及具体提交。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游戏与课件</w:t>
            </w:r>
          </w:p>
        </w:tc>
        <w:tc>
          <w:tcPr>
            <w:tcW w:type="dxa" w:w="793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游戏独立建档，课件与游戏多对多关联，内部游戏独立目录，统一保护真实访问入口。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权限与有效期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区分功能、数据范围、资源授权；新增学生授权记录，访问时校验有效期和撤销状态。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账号与组织</w:t>
            </w:r>
          </w:p>
        </w:tc>
        <w:tc>
          <w:tcPr>
            <w:tcW w:type="dxa" w:w="793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补齐班级、任教和转班转校历史；区分账号手机号与学校学号登录，取消共享默认密码。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积分与配音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积分使用不可篡改流水和幂等事件；AI评分先验证接口能力，再确定评分维度与权重。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交付与验收</w:t>
            </w:r>
          </w:p>
        </w:tc>
        <w:tc>
          <w:tcPr>
            <w:tcW w:type="dxa" w:w="793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提供分期范围、表清单、接口约束、权限用例和待确认事项，移除无需沟通即可开发的承诺。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阅读顺序</w:t>
      </w:r>
    </w:p>
    <w:p>
      <w:r>
        <w:rPr>
          <w:b w:val="0"/>
        </w:rPr>
        <w:t>产品与项目负责人先评审第一至三章、第十六至十八章；开发人员再按业务章节实施；测试人员以第十七章为基础建立用例。文中“建议默认”表示可用于估算与原型的基线，正式业务上线前需按第十八章确认。</w:t>
      </w:r>
    </w:p>
    <w:p>
      <w:pPr>
        <w:pStyle w:val="Heading1"/>
        <w:pageBreakBefore/>
        <w:snapToGrid w:val="0"/>
      </w:pPr>
      <w:r>
        <w:t>一 交付范围与技术基线</w:t>
      </w:r>
    </w:p>
    <w:p>
      <w:pPr>
        <w:pStyle w:val="Heading2"/>
        <w:snapToGrid w:val="0"/>
      </w:pPr>
      <w:r>
        <w:t>1.1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793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实施基线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管理前端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官方 RuoYi Vue3、Vue3、Element Plus、Vite。复用布局、路由生成、列表和表单模式。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793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官方 RuoYi Vue 的 springboot3 分支，JDK 17、Spring Security、MyBatis、Redis，Maven管理。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MySQL 8.0、InnoDB、utf8mb4。先交付建表与迁移SQL，再由部署环境创建数据库。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文件存储</w:t>
            </w:r>
          </w:p>
        </w:tc>
        <w:tc>
          <w:tcPr>
            <w:tcW w:type="dxa" w:w="793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通过独立文件服务适配OSS。受保护资源使用私有桶和短期授权URL，禁止永久公网地址绕过业务权限。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调度与缓存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复用 ruoyi-quartz 和现有Redis能力；定时任务辅助提醒、状态修复和汇总，不替代请求鉴权。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仓库、分支、版本标签和commit SHA须写入项目README及依赖锁定文件。前后端版本分别锁定，不能仅凭“v3.9.2”推断所有组件版本。未经单独评估，不引入MyBatis-Plus替换原有持久层。</w:t>
      </w:r>
    </w:p>
    <w:p>
      <w:pPr>
        <w:pStyle w:val="Heading2"/>
        <w:snapToGrid w:val="0"/>
      </w:pPr>
      <w:r>
        <w:t>1.2 目录与模块边界</w:t>
      </w:r>
    </w:p>
    <w:p>
      <w:r>
        <w:rPr>
          <w:b w:val="0"/>
        </w:rPr>
        <w:t>新建 education-admin/frontend、education-admin/backend、education-admin/sql、education-admin/games、education-admin/deploy、education-admin/docs。前后端分别维护依赖和构建。后端业务优先放独立 ruoyi-education 模块，由 ruoyi-admin 装配；现有框架模块保留升级边界。</w:t>
      </w:r>
    </w:p>
    <w:p>
      <w:r>
        <w:rPr>
          <w:b w:val="0"/>
        </w:rPr>
        <w:t>已有星球项目 gamesoptionproject 保持独立源码。构建脚本将其产物按版本接入 games/planet；不复制node_modules、不手工覆盖源码。游戏目录规范见第八章。</w:t>
      </w:r>
    </w:p>
    <w:p>
      <w:pPr>
        <w:pStyle w:val="Heading2"/>
        <w:snapToGrid w:val="0"/>
      </w:pPr>
      <w:r>
        <w:t>1.3 框架复用原则</w:t>
      </w:r>
    </w:p>
    <w:p>
      <w:pPr>
        <w:pStyle w:val="ListBullet"/>
        <w:spacing w:after="80"/>
        <w:snapToGrid w:val="0"/>
      </w:pPr>
      <w:r>
        <w:t>优先复用账号、角色、菜单、字典、参数、日志、分页、Excel工具和调度。数据库扩展采用版本化迁移；不承诺核心表和接入代码零修改。</w:t>
      </w:r>
    </w:p>
    <w:p>
      <w:pPr>
        <w:pStyle w:val="ListBullet"/>
        <w:spacing w:after="80"/>
        <w:snapToGrid w:val="0"/>
      </w:pPr>
      <w:r>
        <w:t>官方后端操作审计采用 @Log；前端按钮指令采用 v-hasPermi。后端另行校验权限，不能依赖按钮是否展示。</w:t>
      </w:r>
    </w:p>
    <w:p>
      <w:pPr>
        <w:pStyle w:val="ListBullet"/>
        <w:spacing w:after="80"/>
        <w:snapToGrid w:val="0"/>
      </w:pPr>
      <w:r>
        <w:t>MyBatis业务SQL必须显式处理逻辑删除和数据范围。部门导入、OSS适配、自动提醒投递等均需评估与实现，不能按现成功能估算。</w:t>
      </w:r>
    </w:p>
    <w:p>
      <w:pPr>
        <w:pStyle w:val="Heading2"/>
        <w:snapToGrid w:val="0"/>
      </w:pPr>
      <w:r>
        <w:t>1.4 浏览器兼容边界</w:t>
      </w:r>
    </w:p>
    <w:p>
      <w:r>
        <w:rPr>
          <w:b w:val="0"/>
        </w:rPr>
        <w:t>验收覆盖Chrome、360浏览器和QQ浏览器的Chromium内核模式。具体最低版本由部署学校设备清单确认；第一期不承诺IE或兼容模式。未支持的浏览器应展示升级或切换极速模式提示。录音功能另测HTTPS、麦克风授权和音频格式。</w:t>
      </w:r>
    </w:p>
    <w:p>
      <w:pPr>
        <w:pStyle w:val="Heading1"/>
        <w:pageBreakBefore/>
        <w:snapToGrid w:val="0"/>
      </w:pPr>
      <w:r>
        <w:t>二 权限模型与统一访问规则</w:t>
      </w:r>
    </w:p>
    <w:p>
      <w:pPr>
        <w:pStyle w:val="Heading2"/>
        <w:snapToGrid w:val="0"/>
      </w:pPr>
      <w:r>
        <w:t>2.1 三层权限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118"/>
        <w:gridCol w:w="5046"/>
      </w:tblGrid>
      <w:tr>
        <w:trPr>
          <w:tblHeader/>
          <w:cantSplit/>
        </w:trPr>
        <w:tc>
          <w:tcPr>
            <w:tcW w:type="dxa" w:w="147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118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5046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后端校验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功能权限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sys_role、sys_menu及关联表</w:t>
            </w:r>
          </w:p>
        </w:tc>
        <w:tc>
          <w:tcPr>
            <w:tcW w:type="dxa" w:w="504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校验接口权限标识，例如 biz:game:edit；前端仅辅助显隐。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数据范围</w:t>
            </w:r>
          </w:p>
        </w:tc>
        <w:tc>
          <w:tcPr>
            <w:tcW w:type="dxa" w:w="311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部门树、任教关系、学生本人身份</w:t>
            </w:r>
          </w:p>
        </w:tc>
        <w:tc>
          <w:tcPr>
            <w:tcW w:type="dxa" w:w="504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计算可访问学校和班级，校验读取与写入目标。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资源授权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学校资源池、学生有效授权项</w:t>
            </w:r>
          </w:p>
        </w:tc>
        <w:tc>
          <w:tcPr>
            <w:tcW w:type="dxa" w:w="504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检查科目、册次、阶次、课件或游戏范围及有效期。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功能权限和资源授权取交集。多个有效授权项之间取并集，但账号停用、学校到期、资源停用、明确撤销等拒绝条件优先。新增全量资源不能自动扩大历史限定授权，除非授权范围明确约定包含未来新增资源。</w:t>
      </w:r>
    </w:p>
    <w:p>
      <w:pPr>
        <w:pStyle w:val="Heading2"/>
        <w:snapToGrid w:val="0"/>
      </w:pPr>
      <w:r>
        <w:t>2.2 身份边界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608"/>
        <w:gridCol w:w="5329"/>
      </w:tblGrid>
      <w:tr>
        <w:trPr>
          <w:tblHeader/>
          <w:cantSplit/>
        </w:trPr>
        <w:tc>
          <w:tcPr>
            <w:tcW w:type="dxa" w:w="170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身份</w:t>
            </w:r>
          </w:p>
        </w:tc>
        <w:tc>
          <w:tcPr>
            <w:tcW w:type="dxa" w:w="2608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可操作数据</w:t>
            </w:r>
          </w:p>
        </w:tc>
        <w:tc>
          <w:tcPr>
            <w:tcW w:type="dxa" w:w="5329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主要限制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超级管理员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全局</w:t>
            </w:r>
          </w:p>
        </w:tc>
        <w:tc>
          <w:tcPr>
            <w:tcW w:type="dxa" w:w="532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安全配置和跨校高风险操作须审计；不能绕过业务数据一致性约束。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省市区管理员</w:t>
            </w:r>
          </w:p>
        </w:tc>
        <w:tc>
          <w:tcPr>
            <w:tcW w:type="dxa" w:w="260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所辖学校</w:t>
            </w:r>
          </w:p>
        </w:tc>
        <w:tc>
          <w:tcPr>
            <w:tcW w:type="dxa" w:w="5329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不可管理上级角色、跨范围学校或全局模板。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学校管理员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本校</w:t>
            </w:r>
          </w:p>
        </w:tc>
        <w:tc>
          <w:tcPr>
            <w:tcW w:type="dxa" w:w="532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仅能分配允许委派的本校角色；不能修改全局参数。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老师</w:t>
            </w:r>
          </w:p>
        </w:tc>
        <w:tc>
          <w:tcPr>
            <w:tcW w:type="dxa" w:w="260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有效任教班级</w:t>
            </w:r>
          </w:p>
        </w:tc>
        <w:tc>
          <w:tcPr>
            <w:tcW w:type="dxa" w:w="5329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可授课、查看本班学生、执行授权PK；默认无批量删除或重置密码权限。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学生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本人</w:t>
            </w:r>
          </w:p>
        </w:tc>
        <w:tc>
          <w:tcPr>
            <w:tcW w:type="dxa" w:w="532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仅能使用满足本人授权及资源规则的学习内容；不能访问教学管理功能。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2.3 访问判定顺序</w:t>
      </w:r>
    </w:p>
    <w:p>
      <w:r>
        <w:rPr>
          <w:b w:val="0"/>
        </w:rPr>
        <w:t>先校验身份与会话，再校验账号和所属学校状态，然后检查功能权限、数据归属、资源状态及授权范围。学校有效期与授权有效期采用左闭右开区间，即开始时间 ≤ 当前时间 &lt; 到期时间。所有比较以服务端时间为准。</w:t>
      </w:r>
    </w:p>
    <w:p>
      <w:r>
        <w:rPr>
          <w:b w:val="0"/>
        </w:rPr>
        <w:t>未登录接口返回401；已登录但无权限返回403；已下架或不存在资源对外按统一策略返回404。页面入口展示明确提示。客户端不能指定student_user_id冒用其他学生，后端必须从登录身份取得。</w:t>
      </w:r>
    </w:p>
    <w:p>
      <w:pPr>
        <w:pStyle w:val="Heading2"/>
        <w:snapToGrid w:val="0"/>
      </w:pPr>
      <w:r>
        <w:t>2.4 权限变更立即生效</w:t>
      </w:r>
    </w:p>
    <w:p>
      <w:r>
        <w:rPr>
          <w:b w:val="0"/>
        </w:rPr>
        <w:t>停用账号、停用学校、撤销角色或资源授权时，使相关Redis权限缓存和在线登录状态失效。必要的请求级有效期检查不能只读取长期缓存快照。权限缓存最长失效窗口纳入第十七章验收，不得等待次日任务。</w:t>
      </w:r>
    </w:p>
    <w:p>
      <w:pPr>
        <w:pStyle w:val="Heading1"/>
        <w:pageBreakBefore/>
        <w:snapToGrid w:val="0"/>
      </w:pPr>
      <w:r>
        <w:t>三 组织 班级与历史归属</w:t>
      </w:r>
    </w:p>
    <w:p>
      <w:pPr>
        <w:pStyle w:val="Heading2"/>
        <w:snapToGrid w:val="0"/>
      </w:pPr>
      <w:r>
        <w:t>3.1 组织模型</w:t>
      </w:r>
    </w:p>
    <w:p>
      <w:r>
        <w:rPr>
          <w:b w:val="0"/>
        </w:rPr>
        <w:t>复用sys_dept表示行政区域与学校，常规路径为省、市、区、学校。节点类型放在biz_org_extend，以dept_id作为主键，字段为org_type varchar(16)。已有sys_dept的del_flag不重复新增。学校业务信息放在biz_school，school_id同时关联学校部门节点。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6576"/>
      </w:tblGrid>
      <w:tr>
        <w:trPr>
          <w:tblHeader/>
          <w:cantSplit/>
        </w:trPr>
        <w:tc>
          <w:tcPr>
            <w:tcW w:type="dxa" w:w="306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6576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关键字段与约束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biz_school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school_id bigint主键；school_code varchar(32)全局唯一；expire_time datetime必填；school_status varchar(16)记录正常、人工停用等业务状态。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biz_class</w:t>
            </w:r>
          </w:p>
        </w:tc>
        <w:tc>
          <w:tcPr>
            <w:tcW w:type="dxa" w:w="657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class_id bigint主键；school_id；academic_year varchar(9)；grade tinyint 1至6；class_name varchar(64)；status正常或归档。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biz_teacher_class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id；teacher_user_id；school_id；class_id；subject varchar(16)；start_time；end_time可空。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biz_student_class_history</w:t>
            </w:r>
          </w:p>
        </w:tc>
        <w:tc>
          <w:tcPr>
            <w:tcW w:type="dxa" w:w="657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id；student_user_id；school_id；class_id；start_time；end_time；change_reason。记录每次入班、转班和转校。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学校到期与人工停用分开记录：到期不应永久覆盖人工状态，续费后也不能误恢复被人工停用的学校。有效状态根据部门状态、业务状态及到期时间共同计算。每日任务发送提醒并维护展示状态。</w:t>
      </w:r>
    </w:p>
    <w:p>
      <w:pPr>
        <w:pStyle w:val="Heading2"/>
        <w:snapToGrid w:val="0"/>
      </w:pPr>
      <w:r>
        <w:t>3.2 班级与任教约束</w:t>
      </w:r>
    </w:p>
    <w:p>
      <w:pPr>
        <w:pStyle w:val="ListBullet"/>
        <w:spacing w:after="80"/>
        <w:snapToGrid w:val="0"/>
      </w:pPr>
      <w:r>
        <w:t>学生当前只能有一个有效所属班级；班级必须属于学生当前学校。任教关系中的school_id必须与班级一致，且关系仍在有效期内。</w:t>
      </w:r>
    </w:p>
    <w:p>
      <w:pPr>
        <w:pStyle w:val="ListBullet"/>
        <w:spacing w:after="80"/>
        <w:snapToGrid w:val="0"/>
      </w:pPr>
      <w:r>
        <w:t>老师默认一个归属学校，可任教本校多个班级和科目。第一期不开放跨校任教；后续通过显式任职关系扩展，禁止通过修改请求参数获得跨校权限。</w:t>
      </w:r>
    </w:p>
    <w:p>
      <w:pPr>
        <w:pStyle w:val="ListBullet"/>
        <w:spacing w:after="80"/>
        <w:snapToGrid w:val="0"/>
      </w:pPr>
      <w:r>
        <w:t>建议默认同校、同学年、同年级的班级名称唯一。管理员可查询归档班级，但归档后禁止授课和新增学习记录。</w:t>
      </w:r>
    </w:p>
    <w:p>
      <w:pPr>
        <w:pStyle w:val="ListBullet"/>
        <w:spacing w:after="80"/>
        <w:snapToGrid w:val="0"/>
      </w:pPr>
      <w:r>
        <w:t>批量导入组织、学校、班级需提供独立模板和父级匹配规则，预校验后执行；不是直接套用部门增删改即可完成。</w:t>
      </w:r>
    </w:p>
    <w:p>
      <w:pPr>
        <w:pStyle w:val="Heading2"/>
        <w:snapToGrid w:val="0"/>
      </w:pPr>
      <w:r>
        <w:t>3.3 历史记录与归档</w:t>
      </w:r>
    </w:p>
    <w:p>
      <w:r>
        <w:rPr>
          <w:b w:val="0"/>
        </w:rPr>
        <w:t>配音、积分、PK和学习记录保存发生时的school_id、class_id、academic_year、grade、volume快照。转班转校只更新当前关系，历史记录保持原归属。原学校按原权限查看本校发生的历史；新学校默认不获取旧校明细；学生可查看本人允许展示的历史。</w:t>
      </w:r>
    </w:p>
    <w:p>
      <w:r>
        <w:rPr>
          <w:b w:val="0"/>
        </w:rPr>
        <w:t>班级毕业归档时终止当前关系并按业务确认停用学生登录，不删除账号与记录。老师离职结束任教关系并停用账号。涉及其他仍有效任职的账号，不能误批量停用。到期前7、3、1天发送站内通知，按学校、提醒类型和日期幂等去重。</w:t>
      </w:r>
    </w:p>
    <w:p>
      <w:pPr>
        <w:pStyle w:val="Heading1"/>
        <w:pageBreakBefore/>
        <w:snapToGrid w:val="0"/>
      </w:pPr>
      <w:r>
        <w:t>四 账号 登录与手机号</w:t>
      </w:r>
    </w:p>
    <w:p>
      <w:pPr>
        <w:pStyle w:val="Heading2"/>
        <w:snapToGrid w:val="0"/>
      </w:pPr>
      <w:r>
        <w:t>4.1 统一身份与唯一性</w:t>
      </w:r>
    </w:p>
    <w:p>
      <w:r>
        <w:rPr>
          <w:b w:val="0"/>
        </w:rPr>
        <w:t>所有自然人账号统一使用sys_user.user_id。学生扩展表biz_student_extend以user_id为主键；所有业务表引用学生时列名统一为student_user_id，避免student_id与user_id混用。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标识</w:t>
            </w:r>
          </w:p>
        </w:tc>
        <w:tc>
          <w:tcPr>
            <w:tcW w:type="dxa" w:w="7483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登录账号</w:t>
            </w:r>
          </w:p>
        </w:tc>
        <w:tc>
          <w:tcPr>
            <w:tcW w:type="dxa" w:w="748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sys_user.user_name全局唯一。学生默认生成稳定内部账号，不能直接把可能重复的学号写成全局账号。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学校学号</w:t>
            </w:r>
          </w:p>
        </w:tc>
        <w:tc>
          <w:tcPr>
            <w:tcW w:type="dxa" w:w="7483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biz_student_extend中school_id与student_no联合唯一。student_no使用varchar(32)，保留前导零。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绑定手机号</w:t>
            </w:r>
          </w:p>
        </w:tc>
        <w:tc>
          <w:tcPr>
            <w:tcW w:type="dxa" w:w="748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每个账号最多绑定一个已验证手机号；非空时全局唯一。未绑定存NULL，迁移时先清理空串和重复值。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家长联系号码</w:t>
            </w:r>
          </w:p>
        </w:tc>
        <w:tc>
          <w:tcPr>
            <w:tcW w:type="dxa" w:w="7483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与登录手机号分开存储；第一期一个号码不绑定多个学生登录，家长多孩统一登录留待家长账号体系实现。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4.2 登录入口</w:t>
      </w:r>
    </w:p>
    <w:p>
      <w:r>
        <w:rPr>
          <w:b w:val="0"/>
        </w:rPr>
        <w:t>统一登录页明确提供“账号或手机号登录”和“学校学号登录”两种模式，不按纯数字自动判断。手机号形态与纯数字账号冲突时，使用显式登录类型或限制新建账号占用手机号命名空间；旧数据冲突在迁移时解决。</w:t>
      </w:r>
    </w:p>
    <w:p>
      <w:r>
        <w:rPr>
          <w:b w:val="0"/>
        </w:rPr>
        <w:t>学校学号登录提交school_code或school_id、student_no、密码与验证码。学校专属路径 /school/{schoolCode}/login 默认锁定学校，不据此赋予任何权限。浏览器可缓存学校选择，禁止缓存明文密码。</w:t>
      </w:r>
    </w:p>
    <w:p>
      <w:r>
        <w:rPr>
          <w:b w:val="0"/>
        </w:rPr>
        <w:t>后端在登录查询阶段统一解析身份，再复用密码校验、验证码、失败锁定和登录日志。账号不存在、密码错误、号码未绑定使用统一提示，减少账号枚举。成功后只返回必要的用户资料、菜单和权限标识。</w:t>
      </w:r>
    </w:p>
    <w:p>
      <w:pPr>
        <w:pStyle w:val="Heading2"/>
        <w:snapToGrid w:val="0"/>
      </w:pPr>
      <w:r>
        <w:t>4.3 手机号绑定与变更</w:t>
      </w:r>
    </w:p>
    <w:p>
      <w:r>
        <w:rPr>
          <w:b w:val="0"/>
        </w:rPr>
        <w:t>用户自助绑定须通过短信验证码验证号码归属；更换号码还需原号码或其他有效身份验证。短信服务未接入前关闭自助绑定，只允许有权限的管理员登记并区分未验证状态；未验证号码不得用于登录。号码修改、验证、解绑和管理员代办均须审计。</w:t>
      </w:r>
    </w:p>
    <w:p>
      <w:pPr>
        <w:pStyle w:val="Heading2"/>
        <w:snapToGrid w:val="0"/>
      </w:pPr>
      <w:r>
        <w:t>4.4 密码与会话</w:t>
      </w:r>
    </w:p>
    <w:p>
      <w:pPr>
        <w:pStyle w:val="ListBullet"/>
        <w:spacing w:after="80"/>
        <w:snapToGrid w:val="0"/>
      </w:pPr>
      <w:r>
        <w:t>取消全员共享默认密码。导入时生成随机临时密码，通过授权渠道交付；首次登录强制修改。重置密码后使旧会话失效。</w:t>
      </w:r>
    </w:p>
    <w:p>
      <w:pPr>
        <w:pStyle w:val="ListBullet"/>
        <w:spacing w:after="80"/>
        <w:snapToGrid w:val="0"/>
      </w:pPr>
      <w:r>
        <w:t>建议默认密码8至32位，至少两类字符；与若依密码长度限制、登录锁定参数统一。管理员启用更严格策略时需说明影响范围。</w:t>
      </w:r>
    </w:p>
    <w:p>
      <w:pPr>
        <w:pStyle w:val="ListBullet"/>
        <w:spacing w:after="80"/>
        <w:snapToGrid w:val="0"/>
      </w:pPr>
      <w:r>
        <w:t>连续失败锁定、验证码和IP限流共同使用，具体次数与时长参数化。禁止将密码、完整Token或短信验证码写入操作日志。</w:t>
      </w:r>
    </w:p>
    <w:p>
      <w:pPr>
        <w:pStyle w:val="Heading1"/>
        <w:pageBreakBefore/>
        <w:snapToGrid w:val="0"/>
      </w:pPr>
      <w:r>
        <w:t>五 注册 导入与账号管理</w:t>
      </w:r>
    </w:p>
    <w:p>
      <w:pPr>
        <w:pStyle w:val="Heading2"/>
        <w:snapToGrid w:val="0"/>
      </w:pPr>
      <w:r>
        <w:t>5.1 学生注册</w:t>
      </w:r>
    </w:p>
    <w:p>
      <w:r>
        <w:rPr>
          <w:b w:val="0"/>
        </w:rPr>
        <w:t>注册入口由参数控制，后端强制创建学生身份，拒绝客户端提交管理员或老师角色。建议默认学校开启注册后，使用班级邀请码或学校预导入名单校验；未配置可信校验时转人工审核，不允许仅凭自行选择学校、班级即可生效。</w:t>
      </w:r>
    </w:p>
    <w:p>
      <w:r>
        <w:rPr>
          <w:b w:val="0"/>
        </w:rPr>
        <w:t>流程为学校与班级选择、邀请码或名单校验、学号与姓名、可选手机号验证、设置密码、提交。待审核账号不能访问学习资源。邀请码绑定学校和班级，设置有效期和使用限制；审核人与审核时间留痕。</w:t>
      </w:r>
    </w:p>
    <w:p>
      <w:pPr>
        <w:pStyle w:val="Heading2"/>
        <w:snapToGrid w:val="0"/>
      </w:pPr>
      <w:r>
        <w:t>5.2 管理功能</w:t>
      </w:r>
    </w:p>
    <w:p>
      <w:pPr>
        <w:pStyle w:val="ListBullet"/>
        <w:spacing w:after="80"/>
        <w:snapToGrid w:val="0"/>
      </w:pPr>
      <w:r>
        <w:t>用户列表按角色、姓名、账号、手机号、学校、班级、状态查询，服务端分页；手机号按权限脱敏。详情支持基本资料、归属关系和授权查看。</w:t>
      </w:r>
    </w:p>
    <w:p>
      <w:pPr>
        <w:pStyle w:val="ListBullet"/>
        <w:spacing w:after="80"/>
        <w:snapToGrid w:val="0"/>
      </w:pPr>
      <w:r>
        <w:t>新增和修改时同时校验目标学校、班级、可委派角色；管理员不能授予超出自身委派边界的权限。防止学校管理员构造role_id提升为上级管理员。</w:t>
      </w:r>
    </w:p>
    <w:p>
      <w:pPr>
        <w:pStyle w:val="ListBullet"/>
        <w:spacing w:after="80"/>
        <w:snapToGrid w:val="0"/>
      </w:pPr>
      <w:r>
        <w:t>冻结、启用、重置密码、转班转校均有独立权限标识、确认提示和审计；老师默认只读本班资料。账号注销与业务归档分别处理。</w:t>
      </w:r>
    </w:p>
    <w:p>
      <w:pPr>
        <w:pStyle w:val="Heading2"/>
        <w:snapToGrid w:val="0"/>
      </w:pPr>
      <w:r>
        <w:t>5.3 批量导入的事务边界</w:t>
      </w:r>
    </w:p>
    <w:p>
      <w:r>
        <w:rPr>
          <w:b w:val="0"/>
        </w:rPr>
        <w:t>老师、学生采用独立模板；一次导入写入sys_user、角色关系、学生扩展或任教关系。统一导入任务号，先完成格式、去重、组织权限、手机号和归属校验，再提交。单个账号的主表与业务表必须处于同一事务中。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导入规则</w:t>
            </w:r>
          </w:p>
        </w:tc>
        <w:tc>
          <w:tcPr>
            <w:tcW w:type="dxa" w:w="765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重复识别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学生按学校与学号；老师按登录账号。明确跳过重复与覆盖可更新字段两种模式。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覆盖更新</w:t>
            </w:r>
          </w:p>
        </w:tc>
        <w:tc>
          <w:tcPr>
            <w:tcW w:type="dxa" w:w="765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默认仅更新姓名、联系信息等允许字段；不覆盖密码、角色、积分和历史归属。转班转校走专用流程。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失败与恢复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小批量建议整体事务；大批量分块执行并记录行状态。提供成功、失败、跳过统计及失败明细文件，重试不重复创建。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安全与容量</w:t>
            </w:r>
          </w:p>
        </w:tc>
        <w:tc>
          <w:tcPr>
            <w:tcW w:type="dxa" w:w="765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建议单次5000行，可配置；导入文件限类型和大小，防Excel公式注入；失败文件仅提交人及授权管理员访问并定期清理。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5.4 关键数据约束</w:t>
      </w:r>
    </w:p>
    <w:p>
      <w:r>
        <w:rPr>
          <w:b w:val="0"/>
        </w:rPr>
        <w:t>biz_student_extend包含user_id、school_id、class_id、student_no、is_trial及审计字段。当前班级与历史关系在事务内同步。手机号唯一约束必须由数据库兜底，不能只有提交前查重。删除账号后手机号和学号是否允许复用，遵循第十五章明确的保留策略。</w:t>
      </w:r>
    </w:p>
    <w:p>
      <w:pPr>
        <w:pStyle w:val="Heading1"/>
        <w:pageBreakBefore/>
        <w:snapToGrid w:val="0"/>
      </w:pPr>
      <w:r>
        <w:t>六 课件底座与学校定制</w:t>
      </w:r>
    </w:p>
    <w:p>
      <w:pPr>
        <w:pStyle w:val="Heading2"/>
        <w:snapToGrid w:val="0"/>
      </w:pPr>
      <w:r>
        <w:t>6.1 课件公共模型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6576"/>
      </w:tblGrid>
      <w:tr>
        <w:trPr>
          <w:tblHeader/>
          <w:cantSplit/>
        </w:trPr>
        <w:tc>
          <w:tcPr>
            <w:tcW w:type="dxa" w:w="306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576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类型与规则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courseware_id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bigint主键；身份稳定，发布内容通过版本号区分。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subject_code / volume</w:t>
            </w:r>
          </w:p>
        </w:tc>
        <w:tc>
          <w:tcPr>
            <w:tcW w:type="dxa" w:w="657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varchar(16)学科编码；tinyint册次1至12，对应一至六年级上下学期。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courseware_name / sort_no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varchar(128)名称；int排序。名称不是不可变标识。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scope_type / school_id</w:t>
            </w:r>
          </w:p>
        </w:tc>
        <w:tc>
          <w:tcPr>
            <w:tcW w:type="dxa" w:w="657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scope_type为GLOBAL或SCHOOL；全局时school_id为NULL，学校课件时关联学校部门。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source_courseware_id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bigint可空，指向来源全局模板；学校自行新增时为空。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cover_file_id / status</w:t>
            </w:r>
          </w:p>
        </w:tc>
        <w:tc>
          <w:tcPr>
            <w:tcW w:type="dxa" w:w="657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封面关联文件；状态为DRAFT、PUBLISHED、DISABLED，不使用含义不明的数字。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current_version / 审计字段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当前发布版本；create_by、create_time、update_by、update_time、remark、del_flag。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业务表名为biz_courseware_base。全局模板与学校记录不使用school_id=0伪造学校外键。按范围、学科、册次和名称校验展示重复；数据库唯一键需处理NULL语义，使用规范化范围键或生成列，不能直接依赖包含NULL的联合唯一索引。</w:t>
      </w:r>
    </w:p>
    <w:p>
      <w:pPr>
        <w:pStyle w:val="Heading2"/>
        <w:snapToGrid w:val="0"/>
      </w:pPr>
      <w:r>
        <w:t>6.2 学校资源池与覆盖</w:t>
      </w:r>
    </w:p>
    <w:p>
      <w:r>
        <w:rPr>
          <w:b w:val="0"/>
        </w:rPr>
        <w:t>biz_school_resource配置学校可用的科目、册次及指定课件，明确生效和到期时间。建议默认新建学校没有已购买资源，演示套餐显式发放。全局模板“可被配置使用”不等于所有学生天然获得学习权限。</w:t>
      </w:r>
    </w:p>
    <w:p>
      <w:r>
        <w:rPr>
          <w:b w:val="0"/>
        </w:rPr>
        <w:t>学校定制全局模板时新建本校副本并记录来源。本校展示优先使用已发布副本，同一模板默认不重复展示；恢复模板通过关闭覆盖关系完成。学校自行新增课件只在本校可用。</w:t>
      </w:r>
    </w:p>
    <w:p>
      <w:r>
        <w:rPr>
          <w:b w:val="0"/>
        </w:rPr>
        <w:t>全局模板更新不自动覆盖学校副本，由学校管理员查看差异后选择升级。学校副本默认继承来源课件的授权范围标识，不能通过复制规避册次或科目限制。</w:t>
      </w:r>
    </w:p>
    <w:p>
      <w:pPr>
        <w:pStyle w:val="Heading2"/>
        <w:snapToGrid w:val="0"/>
      </w:pPr>
      <w:r>
        <w:t>6.3 版本与历史</w:t>
      </w:r>
    </w:p>
    <w:p>
      <w:r>
        <w:rPr>
          <w:b w:val="0"/>
        </w:rPr>
        <w:t>新增biz_courseware_version，包含courseware_id、version_no、content_snapshot_json、publish_time、publisher。每次发布保存不可变版本快照；学习、配音、PK关联发生时的版本。学科扩展表保存编辑态字段，发布时校验后生成快照。历史引用资源采用保留或归档策略，禁止发布后直接覆盖原文件。</w:t>
      </w:r>
    </w:p>
    <w:p>
      <w:pPr>
        <w:pStyle w:val="Heading2"/>
        <w:snapToGrid w:val="0"/>
      </w:pPr>
      <w:r>
        <w:t>6.4 页面与权限</w:t>
      </w:r>
    </w:p>
    <w:p>
      <w:r>
        <w:rPr>
          <w:b w:val="0"/>
        </w:rPr>
        <w:t>列表支持学科、册次、学校、名称和状态筛选；编辑页分基础信息、学科属性、多媒体和游戏关联。支持预览、发布、上下架、批量导入导出。管理预览与学生学习分别鉴权，管理预览不能生成可被任意转发的永久公开地址。</w:t>
      </w:r>
    </w:p>
    <w:p>
      <w:pPr>
        <w:pStyle w:val="Heading1"/>
        <w:pageBreakBefore/>
        <w:snapToGrid w:val="0"/>
      </w:pPr>
      <w:r>
        <w:t>七 学科课件与媒体文件</w:t>
      </w:r>
    </w:p>
    <w:p>
      <w:pPr>
        <w:pStyle w:val="Heading2"/>
        <w:snapToGrid w:val="0"/>
      </w:pPr>
      <w:r>
        <w:t>7.1 学科扩展表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6576"/>
      </w:tblGrid>
      <w:tr>
        <w:trPr>
          <w:tblHeader/>
          <w:cantSplit/>
        </w:trPr>
        <w:tc>
          <w:tcPr>
            <w:tcW w:type="dxa" w:w="306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6576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业务字段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biz_courseware_math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courseware_id主键及关联；stage_code varchar(16)；ability_code varchar(32)；discuss_image_file_id；discuss_content text；intro_video_file_id；teacher_book_file_id。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biz_courseware_read</w:t>
            </w:r>
          </w:p>
        </w:tc>
        <w:tc>
          <w:tcPr>
            <w:tcW w:type="dxa" w:w="657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courseware_id主键及关联；dubbing_material_id可空；config_json JSON；config_schema_version int。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biz_courseware_game</w:t>
            </w:r>
          </w:p>
        </w:tc>
        <w:tc>
          <w:tcPr>
            <w:tcW w:type="dxa" w:w="65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id；courseware_id；game_id；game_mode训练或测评；sort_no；config_json；版本关联规则。课件与游戏多对多。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数学课件列表按册次、阶次、能力维度和名称查询。原game_url迁移为游戏关联记录，禁止继续将独立链接散落在学科表中。教师用书、教学介绍等文件默认仅老师及授权管理人员可访问，学生课程授权不能自动获取教师资料。</w:t>
      </w:r>
    </w:p>
    <w:p>
      <w:r>
        <w:rPr>
          <w:b w:val="0"/>
        </w:rPr>
        <w:t>阅读课件从配音库选择本册且用途允许的素材；流程JSON按版本化Schema校验，包括步骤类型、引用素材、顺序和必填字段。仅校验JSON语法不够。禁止JSON注入任意脚本、任意组件或不受控外部URL。</w:t>
      </w:r>
    </w:p>
    <w:p>
      <w:r>
        <w:rPr>
          <w:b w:val="0"/>
        </w:rPr>
        <w:t>新增学科需注册业务处理器、字段校验、流程渲染器、菜单权限和测试。字典项与扩展表只是部分步骤，不承诺配置字典后即可自动获得所有功能。</w:t>
      </w:r>
    </w:p>
    <w:p>
      <w:pPr>
        <w:pStyle w:val="Heading2"/>
        <w:snapToGrid w:val="0"/>
      </w:pPr>
      <w:r>
        <w:t>7.2 统一文件模型</w:t>
      </w:r>
    </w:p>
    <w:p>
      <w:r>
        <w:rPr>
          <w:b w:val="0"/>
        </w:rPr>
        <w:t>biz_file记录file_id、storage_provider、bucket、object_key、original_name、mime_type、size、checksum、owner_school_id、visibility和状态。业务表引用file_id，不存长期签名URL。对象路径建议按学科、册次、日期、随机文件ID组织。</w:t>
      </w:r>
    </w:p>
    <w:p>
      <w:pPr>
        <w:pStyle w:val="ListBullet"/>
        <w:spacing w:after="80"/>
        <w:snapToGrid w:val="0"/>
      </w:pPr>
      <w:r>
        <w:t>上传检查文件大小、扩展名、实际内容类型与归属权限；富文本清洗危险标签。HTML游戏包不能通过普通图片或文档上传接口发布。</w:t>
      </w:r>
    </w:p>
    <w:p>
      <w:pPr>
        <w:pStyle w:val="ListBullet"/>
        <w:spacing w:after="80"/>
        <w:snapToGrid w:val="0"/>
      </w:pPr>
      <w:r>
        <w:t>私有文件访问前校验业务权限，再签发建议不超过5分钟的临时链接；已下发链接的撤销存在到期窗口，敏感资源需经网关鉴权。</w:t>
      </w:r>
    </w:p>
    <w:p>
      <w:pPr>
        <w:pStyle w:val="ListBullet"/>
        <w:spacing w:after="80"/>
        <w:snapToGrid w:val="0"/>
      </w:pPr>
      <w:r>
        <w:t>大视频支持分片或直传，服务端确认上传结果与校验和。删除前检查引用，历史版本仍在使用的文件只能归档。</w:t>
      </w:r>
    </w:p>
    <w:p>
      <w:pPr>
        <w:pStyle w:val="ListBullet"/>
        <w:spacing w:after="80"/>
        <w:snapToGrid w:val="0"/>
      </w:pPr>
      <w:r>
        <w:t>封面可按业务公开；教师资料、学生录音默认私有。对外导出文件同样限制有效期、下载人和审计。</w:t>
      </w:r>
    </w:p>
    <w:p>
      <w:pPr>
        <w:pStyle w:val="Heading2"/>
        <w:snapToGrid w:val="0"/>
      </w:pPr>
      <w:r>
        <w:t>7.3 导入导出</w:t>
      </w:r>
    </w:p>
    <w:p>
      <w:r>
        <w:rPr>
          <w:b w:val="0"/>
        </w:rPr>
        <w:t>基础CRUD可用生成器起步。包含扩展表、游戏关联和媒体的导入需独立事务编排与错误明细；禁止将生成器产物视为完整业务实现。导出必须复用与列表一致的数据范围并限制批量大小。</w:t>
      </w:r>
    </w:p>
    <w:p>
      <w:pPr>
        <w:pStyle w:val="Heading1"/>
        <w:pageBreakBefore/>
        <w:snapToGrid w:val="0"/>
      </w:pPr>
      <w:r>
        <w:t>八 游戏管理与访问接入</w:t>
      </w:r>
    </w:p>
    <w:p>
      <w:pPr>
        <w:pStyle w:val="Heading2"/>
        <w:snapToGrid w:val="0"/>
      </w:pPr>
      <w:r>
        <w:t>8.1 独立游戏目录</w:t>
      </w:r>
    </w:p>
    <w:p>
      <w:r>
        <w:rPr>
          <w:b w:val="0"/>
        </w:rPr>
        <w:t>游戏资产统一登记在biz_game。目录示例为 games/planet/{version}/、games/number-match/{version}/；每款内部游戏包含manifest.json、构建说明、来源许可信息和构建产物。仓库可保存源码或可重复构建脚本；不要求将几百款游戏一次性全部下载到前端包中。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690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game_id / game_code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bigint主键；varchar(64)全局唯一且稳定的游戏编码。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game_name / category_code</w:t>
            </w:r>
          </w:p>
        </w:tc>
        <w:tc>
          <w:tcPr>
            <w:tcW w:type="dxa" w:w="669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名称与分类；支持搜索、分类筛选、排序和服务端分页。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source_type / entry_path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INTERNAL时记录受控相对路径；EXTERNAL时记录允许的HTTPS入口URL。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access_policy</w:t>
            </w:r>
          </w:p>
        </w:tc>
        <w:tc>
          <w:tcPr>
            <w:tcW w:type="dxa" w:w="669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TEACHER_ONLY、COURSEWARE授权、显式STUDENT授权；默认拒绝未配置的访问。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status / version_no</w:t>
            </w:r>
          </w:p>
        </w:tc>
        <w:tc>
          <w:tcPr>
            <w:tcW w:type="dxa" w:w="669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草稿、发布、停用；发布版本及manifest校验结果。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cover_file_id / metadata</w:t>
            </w:r>
          </w:p>
        </w:tc>
        <w:tc>
          <w:tcPr>
            <w:tcW w:type="dxa" w:w="669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封面、说明、支持设备、训练或测评模式、供应商及许可备注。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8.2 列表 预览与发布</w:t>
      </w:r>
    </w:p>
    <w:p>
      <w:r>
        <w:rPr>
          <w:b w:val="0"/>
        </w:rPr>
        <w:t>页面支持新增编辑、分类、内部或外部筛选、上下架、关联课件、设置访问策略和预览。点击预览后通过后端生成的受控入口在新页打开；浏览器拦截弹窗时提供可点击链接。几百款游戏以分页和按需加载承载，不通过一次性加载全部iframe实现。</w:t>
      </w:r>
    </w:p>
    <w:p>
      <w:r>
        <w:rPr>
          <w:b w:val="0"/>
        </w:rPr>
        <w:t>内部游戏发布先校验manifest、入口文件、相对资源路径和允许的网络请求。新版本发布失败保留旧版本，支持回滚。压缩包上传仅面向受信任运维人员，限制大小、解压数量和路径，防止目录穿越与可执行文件混入。</w:t>
      </w:r>
    </w:p>
    <w:p>
      <w:pPr>
        <w:pStyle w:val="Heading2"/>
        <w:snapToGrid w:val="0"/>
      </w:pPr>
      <w:r>
        <w:t>8.3 内部与外部鉴权</w:t>
      </w:r>
    </w:p>
    <w:p>
      <w:r>
        <w:rPr>
          <w:b w:val="0"/>
        </w:rPr>
        <w:t>内部游戏使用网关或受保护路由统一鉴权，HTML、脚本、媒体与业务API均不得存在未受控的备用公开入口。路径解析限制在指定游戏根目录内。游戏使用独立源或经过安全配置的隔离环境，不能任意读取后台登录凭据。</w:t>
      </w:r>
    </w:p>
    <w:p>
      <w:r>
        <w:rPr>
          <w:b w:val="0"/>
        </w:rPr>
        <w:t>独立源游戏通过短期、限定游戏及受众、一次性的启动票据交换游戏会话。票据绑定用户、游戏、课件、模式及到期时间，交换后从URL移除。URL中不得携带长期登录Token；跨源通信必须核验origin。</w:t>
      </w:r>
    </w:p>
    <w:p>
      <w:r>
        <w:rPr>
          <w:b w:val="0"/>
        </w:rPr>
        <w:t>外部链接仅允许受控HTTPS域名，禁止javascript、data及任意开放跳转。外部平台支持SSO或票据时才能控制其真实入口；不支持的公开游戏明确标记“仅控制后台入口”，不得承诺防直接访问。</w:t>
      </w:r>
    </w:p>
    <w:p>
      <w:pPr>
        <w:pStyle w:val="Heading2"/>
        <w:snapToGrid w:val="0"/>
      </w:pPr>
      <w:r>
        <w:t>8.4 星球项目与回调</w:t>
      </w:r>
    </w:p>
    <w:p>
      <w:r>
        <w:rPr>
          <w:b w:val="0"/>
        </w:rPr>
        <w:t>星球游戏建议默认TEACHER_ONLY，老师经菜单进入，学生即使复制真实地址也应收到403或无权限页面。接入后关闭原匿名域名或同步配置网关，不能只在Vue启动时检查一次。游戏分数回调须服务端签名、时效、幂等校验，不能信任学生浏览器直接提交的最终得分。</w:t>
      </w:r>
    </w:p>
    <w:p>
      <w:pPr>
        <w:pStyle w:val="Heading1"/>
        <w:pageBreakBefore/>
        <w:snapToGrid w:val="0"/>
      </w:pPr>
      <w:r>
        <w:t>九 学生授权与激活码</w:t>
      </w:r>
    </w:p>
    <w:p>
      <w:pPr>
        <w:pStyle w:val="Heading2"/>
        <w:snapToGrid w:val="0"/>
      </w:pPr>
      <w:r>
        <w:t>9.1 有效授权项</w:t>
      </w:r>
    </w:p>
    <w:p>
      <w:r>
        <w:rPr>
          <w:b w:val="0"/>
        </w:rPr>
        <w:t>新增biz_student_entitlement：entitlement_id、student_user_id、source_type、source_id、start_time、end_time、status、revoke_reason、scope_version及审计字段。source_type区分激活码、管理员赠送、试用和活动。授权项独立保留，不通过当前是否存在激活码推断学习权限。</w:t>
      </w:r>
    </w:p>
    <w:p>
      <w:r>
        <w:rPr>
          <w:b w:val="0"/>
        </w:rPr>
        <w:t>授权范围用biz_entitlement_scope明细保存subject_code、volume、stage_code以及可选courseware_id或game_id；同一明细内条件取交集，多条明细取并集。ANY表示显式不限，NULL含义必须固定，不能有时表示未配置、有时表示全量。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授权方式</w:t>
            </w:r>
          </w:p>
        </w:tc>
        <w:tc>
          <w:tcPr>
            <w:tcW w:type="dxa" w:w="765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建议默认规则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学期型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兑换时按批次配置确定科目和册次，保存范围快照；默认180天，从兑换成功时刻起算。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指定范围型</w:t>
            </w:r>
          </w:p>
        </w:tc>
        <w:tc>
          <w:tcPr>
            <w:tcW w:type="dxa" w:w="765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管理员指定科目、册次、阶次或单资源及起止时间，校验本人委派权限。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全量型</w:t>
            </w:r>
          </w:p>
        </w:tc>
        <w:tc>
          <w:tcPr>
            <w:tcW w:type="dxa" w:w="76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只允许有专用权限的管理员发放；明确是否包含未来新增资源，默认不自动包含。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9.2 激活码模型与兑换</w:t>
      </w:r>
    </w:p>
    <w:p>
      <w:r>
        <w:rPr>
          <w:b w:val="0"/>
        </w:rPr>
        <w:t>biz_activate_code_batch包含批次、范围模板快照、valid_days、发行数量、redeem_deadline、可选bound_school_id。biz_activate_code包含code_id、batch_id、唯一code_hash、状态、兑换人和兑换时间。二维码或字符串需足够随机，不采用连续编号作为兑换秘密。</w:t>
      </w:r>
    </w:p>
    <w:p>
      <w:r>
        <w:rPr>
          <w:b w:val="0"/>
        </w:rPr>
        <w:t>发码导出仅授权人员操作并审计。明文码只在生成或受控加密恢复流程中提供，库内不以普通明文长期暴露；若业务要求重复导出，需单独加密存储和密钥管理。</w:t>
      </w:r>
    </w:p>
    <w:p>
      <w:r>
        <w:rPr>
          <w:b w:val="0"/>
        </w:rPr>
        <w:t>兑换事务先校验批次和学校限制，再用条件更新或行锁将未使用码标记为已使用，同时创建授权项，全部成功才提交。并发兑换只能成功一次；重复请求返回原结果或明确已兑换，不重复发放授权。使用数量以成功记录为准，可缓存并定期核对。</w:t>
      </w:r>
    </w:p>
    <w:p>
      <w:pPr>
        <w:pStyle w:val="Heading2"/>
        <w:snapToGrid w:val="0"/>
      </w:pPr>
      <w:r>
        <w:t>9.3 期限 撤销与续期</w:t>
      </w:r>
    </w:p>
    <w:p>
      <w:r>
        <w:rPr>
          <w:b w:val="0"/>
        </w:rPr>
        <w:t>区分“允许兑换截止时间”与“兑换后授权到期时间”。建议默认兑换后获得完整valid_days，不因批次后来到期而缩短；合同套餐需要上限时单独配置。学生转年级或转校不自动修改既有授权范围，学校限制和资源池仍参与访问判断。</w:t>
      </w:r>
    </w:p>
    <w:p>
      <w:r>
        <w:rPr>
          <w:b w:val="0"/>
        </w:rPr>
        <w:t>到期由访问时校验立即拦截，定时任务负责标记和清理缓存。人工撤销需记录原因和操作人。续期追加新授权或创建续期事件，不直接覆盖历史授权来源。学校停用时保留授权记录但暂停访问，恢复后仅仍在有效期内的授权重新可用。</w:t>
      </w:r>
    </w:p>
    <w:p>
      <w:pPr>
        <w:pStyle w:val="Heading1"/>
        <w:pageBreakBefore/>
        <w:snapToGrid w:val="0"/>
      </w:pPr>
      <w:r>
        <w:t>十 配音素材与测评配置</w:t>
      </w:r>
    </w:p>
    <w:p>
      <w:pPr>
        <w:pStyle w:val="Heading2"/>
        <w:snapToGrid w:val="0"/>
      </w:pPr>
      <w:r>
        <w:t>10.1 素材与标签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6406"/>
      </w:tblGrid>
      <w:tr>
        <w:trPr>
          <w:tblHeader/>
          <w:cantSplit/>
        </w:trPr>
        <w:tc>
          <w:tcPr>
            <w:tcW w:type="dxa" w:w="323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6406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字段与规则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biz_dubbing_material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material_id；volume；title；video_file_id；material_text；language_code；status；current_version；审计字段。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biz_dubbing_material_tag</w:t>
            </w:r>
          </w:p>
        </w:tc>
        <w:tc>
          <w:tcPr>
            <w:tcW w:type="dxa" w:w="640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material_id与tag_code联合唯一，支持COURSEWARE、EXAM等多标签；“通用”表示同时具备两种用途，不用char(2)容纳多个值。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biz_dubbing_material_version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material_id、version_no、文本和视频快照、发布时间。历史评分关联素材版本，修改原文不改变旧评分依据。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biz_dubbing_exam_config</w:t>
            </w:r>
          </w:p>
        </w:tc>
        <w:tc>
          <w:tcPr>
            <w:tcW w:type="dxa" w:w="6406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config_id；volume唯一；extract_scope；extract_num；extract_mode；score_rule_version；status；版本与审计字段。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素材按册次隔离，标题按册次校验重复。阅读课件只能选择本册且带课件用途的已发布素材；测评只能抽取本册且用途匹配的素材。列表支持册次、标题、标签、状态查询；编辑、导入、发布及文件上传均检查权限。</w:t>
      </w:r>
    </w:p>
    <w:p>
      <w:pPr>
        <w:pStyle w:val="Heading2"/>
        <w:snapToGrid w:val="0"/>
      </w:pPr>
      <w:r>
        <w:t>10.2 测评实例</w:t>
      </w:r>
    </w:p>
    <w:p>
      <w:r>
        <w:rPr>
          <w:b w:val="0"/>
        </w:rPr>
        <w:t>新增biz_dubbing_exam_attempt记录student_user_id、school_id、class_id、volume、配置版本、开始与结束时间和状态；明细记录实际抽中的素材及版本。学生刷新页面不得重新抽题，未完成实例恢复原题。</w:t>
      </w:r>
    </w:p>
    <w:p>
      <w:r>
        <w:rPr>
          <w:b w:val="0"/>
        </w:rPr>
        <w:t>默认抽取1题、完全随机、与课件同一评分规则。排除已做时按配置确定历史范围；题量不足需明确降级策略，建议默认使用剩余题并提示，不悄悄跨册或跨用途补题。</w:t>
      </w:r>
    </w:p>
    <w:p>
      <w:r>
        <w:rPr>
          <w:b w:val="0"/>
        </w:rPr>
        <w:t>仅超级管理员或明确授权的运营角色可配置抽题，学校与老师只读。自定义评分权重以结构化配置保存，权重总和、上下限和版本必须校验；原文仅有一个自定义权重标志不足以实现。</w:t>
      </w:r>
    </w:p>
    <w:p>
      <w:pPr>
        <w:pStyle w:val="Heading2"/>
        <w:snapToGrid w:val="0"/>
      </w:pPr>
      <w:r>
        <w:t>10.3 隔离边界</w:t>
      </w:r>
    </w:p>
    <w:p>
      <w:r>
        <w:rPr>
          <w:b w:val="0"/>
        </w:rPr>
        <w:t>“学生当前册”由有效授权范围与当前学习入口决定，不使用一个可被客户端随意修改的全局当前册字段。学生拥有多个册次授权时可切换已授权册次。老师教学预览与学生测评分开鉴权；老师预览结果不进入学生正式成绩。</w:t>
      </w:r>
    </w:p>
    <w:p>
      <w:pPr>
        <w:pStyle w:val="Heading2"/>
        <w:snapToGrid w:val="0"/>
      </w:pPr>
      <w:r>
        <w:t>10.4 一对一关系的处理</w:t>
      </w:r>
    </w:p>
    <w:p>
      <w:r>
        <w:rPr>
          <w:b w:val="0"/>
        </w:rPr>
        <w:t>建议一份已发布素材可供多个同册课件引用，避免复制；若业务坚持一对一，应在关联表增加唯一约束并给出素材更换流程。正式选择在第十八章确认，不能同时写“一一绑定”又允许任意复用而不定义约束。</w:t>
      </w:r>
    </w:p>
    <w:p>
      <w:pPr>
        <w:pStyle w:val="Heading1"/>
        <w:pageBreakBefore/>
        <w:snapToGrid w:val="0"/>
      </w:pPr>
      <w:r>
        <w:t>十一 配音记录与AI评分</w:t>
      </w:r>
    </w:p>
    <w:p>
      <w:pPr>
        <w:pStyle w:val="Heading2"/>
        <w:snapToGrid w:val="0"/>
      </w:pPr>
      <w:r>
        <w:t>11.1 记录结构</w:t>
      </w:r>
    </w:p>
    <w:p>
      <w:r>
        <w:rPr>
          <w:b w:val="0"/>
        </w:rPr>
        <w:t>biz_student_dubbing_record统一保存课件练习与测评记录，通过dubbing_type区分。记录包含record_id、student_user_id、school_id、class_id、academic_year、grade、volume、material_id与版本、courseware_id与版本或exam_attempt_id、audio_file_id、answer_time及审计字段。</w:t>
      </w:r>
    </w:p>
    <w:p>
      <w:r>
        <w:rPr>
          <w:b w:val="0"/>
        </w:rPr>
        <w:t>评分字段包括score_status、score_rule_version、provider_code、provider_request_id、六项可空分值、total_score、star_num、error_code和完成时间。score_status取PENDING、PROCESSING、SUCCESS、FAILED。待评分或失败时分数为NULL，不能用0分冒充已评分。</w:t>
      </w:r>
    </w:p>
    <w:p>
      <w:pPr>
        <w:pStyle w:val="Heading2"/>
        <w:snapToGrid w:val="0"/>
      </w:pPr>
      <w:r>
        <w:t>11.2 评分能力先验证</w:t>
      </w:r>
    </w:p>
    <w:p>
      <w:r>
        <w:rPr>
          <w:b w:val="0"/>
        </w:rPr>
        <w:t>接入前使用真实录音样本验证语言、年龄、录音时长、采样率、响应维度、并发限制及计费。语音转文字与朗读评测为不同能力；未验证前不指定某个识别接口必然返回六项分数。供应商通过适配层替换，业务页面不依赖厂商原始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1928"/>
        <w:gridCol w:w="4762"/>
      </w:tblGrid>
      <w:tr>
        <w:trPr>
          <w:tblHeader/>
          <w:cantSplit/>
        </w:trPr>
        <w:tc>
          <w:tcPr>
            <w:tcW w:type="dxa" w:w="2948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业务评分维度</w:t>
            </w:r>
          </w:p>
        </w:tc>
        <w:tc>
          <w:tcPr>
            <w:tcW w:type="dxa" w:w="1928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原稿建议满分</w:t>
            </w:r>
          </w:p>
        </w:tc>
        <w:tc>
          <w:tcPr>
            <w:tcW w:type="dxa" w:w="4762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实施约束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准确度、流畅度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各20分</w:t>
            </w:r>
          </w:p>
        </w:tc>
        <w:tc>
          <w:tcPr>
            <w:tcW w:type="dxa" w:w="476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须有可验证的供应商返回或明确计算依据。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完整性、声韵、语调、整体印象</w:t>
            </w:r>
          </w:p>
        </w:tc>
        <w:tc>
          <w:tcPr>
            <w:tcW w:type="dxa" w:w="1928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各15分</w:t>
            </w:r>
          </w:p>
        </w:tc>
        <w:tc>
          <w:tcPr>
            <w:tcW w:type="dxa" w:w="4762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供应商不支持的维度不得编造；经评审调整维度和权重。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总分、星级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100分、配置化星级</w:t>
            </w:r>
          </w:p>
        </w:tc>
        <w:tc>
          <w:tcPr>
            <w:tcW w:type="dxa" w:w="476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服务端计算并记录规则版本；历史结果不随参数变更自动重算。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11.3 异步任务与重试</w:t>
      </w:r>
    </w:p>
    <w:p>
      <w:r>
        <w:rPr>
          <w:b w:val="0"/>
        </w:rPr>
        <w:t>音频上传确认后创建评分任务，再由任务调用厂商；页面显示处理中并可恢复查询。提交使用幂等键，回调核验签名和请求归属；超时后先查询厂商结果再决定重试，不能承诺网络异常下外部调用绝对只发生一次。</w:t>
      </w:r>
    </w:p>
    <w:p>
      <w:r>
        <w:rPr>
          <w:b w:val="0"/>
        </w:rPr>
        <w:t>建议默认最多3次可重试错误重试，采用退避和费用上限；格式错误等不可重试错误直接失败。保留脱敏错误信息与请求号，支持人工重评；重评产生新结果版本并保留旧结果。</w:t>
      </w:r>
    </w:p>
    <w:p>
      <w:pPr>
        <w:pStyle w:val="Heading2"/>
        <w:snapToGrid w:val="0"/>
      </w:pPr>
      <w:r>
        <w:t>11.4 共用页面</w:t>
      </w:r>
    </w:p>
    <w:p>
      <w:r>
        <w:rPr>
          <w:b w:val="0"/>
        </w:rPr>
        <w:t>列表可按学校、班级、册次、素材、配音类型和评分状态查询。课件练习展示百分制，测评可展示星级并提供总分明细。详情展示录音、评分依据、六项可用明细及状态。录音播放和导出同样检查本人或授权班级范围，不直接公开对象存储URL。</w:t>
      </w:r>
    </w:p>
    <w:p>
      <w:pPr>
        <w:pStyle w:val="Heading1"/>
        <w:pageBreakBefore/>
        <w:snapToGrid w:val="0"/>
      </w:pPr>
      <w:r>
        <w:t>十二 课堂分组与PK赛程</w:t>
      </w:r>
    </w:p>
    <w:p>
      <w:pPr>
        <w:pStyle w:val="Heading2"/>
        <w:snapToGrid w:val="0"/>
      </w:pPr>
      <w:r>
        <w:t>12.1 分组版本</w:t>
      </w:r>
    </w:p>
    <w:p>
      <w:r>
        <w:rPr>
          <w:b w:val="0"/>
        </w:rPr>
        <w:t>班级分组采用biz_group_plan方案表、biz_class_group小组表、biz_student_group成员表。plan_id属于一个班级；当前方案由班级的current_group_plan_id引用。一个学生在一个方案内只能属于一个小组，数据库联合唯一约束兜底。</w:t>
      </w:r>
    </w:p>
    <w:p>
      <w:r>
        <w:rPr>
          <w:b w:val="0"/>
        </w:rPr>
        <w:t>新生按默认4人一组加入当前方案的未满小组；支持手动调整及按2至6人一组随机重分。重分生成新方案，旧方案不可变，PK保存参与者快照。避免多个is_current字段各自更新造成一名学生同时属于多组。</w:t>
      </w:r>
    </w:p>
    <w:p>
      <w:pPr>
        <w:pStyle w:val="Heading2"/>
        <w:snapToGrid w:val="0"/>
      </w:pPr>
      <w:r>
        <w:t>12.2 课时与对战表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633"/>
      </w:tblGrid>
      <w:tr>
        <w:trPr>
          <w:tblHeader/>
          <w:cantSplit/>
        </w:trPr>
        <w:tc>
          <w:tcPr>
            <w:tcW w:type="dxa" w:w="3005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6633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biz_lesson_session</w:t>
            </w:r>
          </w:p>
        </w:tc>
        <w:tc>
          <w:tcPr>
            <w:tcW w:type="dxa" w:w="663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lesson_id、学校、班级、老师、课件及版本、开始结束时间、状态。每次上课独立实例。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biz_pk_session</w:t>
            </w:r>
          </w:p>
        </w:tc>
        <w:tc>
          <w:tcPr>
            <w:tcW w:type="dxa" w:w="6633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pk_session_id、lesson_id、个人或小组、方案版本、阶次、状态。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biz_pk_round / biz_pk_match</w:t>
            </w:r>
          </w:p>
        </w:tc>
        <w:tc>
          <w:tcPr>
            <w:tcW w:type="dxa" w:w="663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轮次、对阵、参赛快照、胜负状态、补位标记、版本号与结算事件。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biz_pk_action</w:t>
            </w:r>
          </w:p>
        </w:tc>
        <w:tc>
          <w:tcPr>
            <w:tcW w:type="dxa" w:w="6633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加星、取消、确认胜负、撤销、重置赛程等操作事件，记录操作人及关联积分事件。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同一课件多次授课产生不同lesson_id；积分可按课件汇总，但赛程不能相互覆盖。老师只能操作本人有效任教班级的开放课时；多终端操作使用版本号或锁，防止重复结算。</w:t>
      </w:r>
    </w:p>
    <w:p>
      <w:pPr>
        <w:pStyle w:val="Heading2"/>
        <w:snapToGrid w:val="0"/>
      </w:pPr>
      <w:r>
        <w:t>12.3 匹配与晋级</w:t>
      </w:r>
    </w:p>
    <w:p>
      <w:r>
        <w:rPr>
          <w:b w:val="0"/>
        </w:rPr>
        <w:t>个人与小组均保留“整体随机匹配”入口，生成结果须落库。建议默认采用淘汰赛且各轮奇数时轮空，轮空不自动加分；需要保留失败方补位时必须启用独立规则，并明确补位资格、最多次数和获奖上限，第一期默认关闭。</w:t>
      </w:r>
    </w:p>
    <w:p>
      <w:r>
        <w:rPr>
          <w:b w:val="0"/>
        </w:rPr>
        <w:t>个人PK包含课堂表现、对战和积分榜。倾听、思考、发言等评价项可配置，加减分和全体加分均产生可追踪事件。正式积分由后端计算，不能直接接受前端提交的总积分。</w:t>
      </w:r>
    </w:p>
    <w:p>
      <w:pPr>
        <w:pStyle w:val="Heading2"/>
        <w:snapToGrid w:val="0"/>
      </w:pPr>
      <w:r>
        <w:t>12.4 阶次 撤销与清空</w:t>
      </w:r>
    </w:p>
    <w:p>
      <w:r>
        <w:rPr>
          <w:b w:val="0"/>
        </w:rPr>
        <w:t>数学小组PK按新手、能手、大师顺序解锁；建议每阶完成一轮所有对阵且已结算后开放下一阶。各阶独立赛程，默认获胜分值1、2、3。其他科目无阶次。小组奖励按对阵开始时的成员快照发给每人，小组不设永久积分账户。</w:t>
      </w:r>
    </w:p>
    <w:p>
      <w:r>
        <w:rPr>
          <w:b w:val="0"/>
        </w:rPr>
        <w:t>撤销胜负时按原分值生成反向流水，不受当前字典改动影响。已有后续赛程时先撤销依赖结果或禁止撤销。“重置赛程”仅关闭当前赛程并创建新实例，保留已结算积分；“撤销本课时积分”为独立高权限操作，不能混用按钮。</w:t>
      </w:r>
    </w:p>
    <w:p>
      <w:pPr>
        <w:pStyle w:val="Heading1"/>
        <w:pageBreakBefore/>
        <w:snapToGrid w:val="0"/>
      </w:pPr>
      <w:r>
        <w:t>十三 积分流水 汇总与榜单</w:t>
      </w:r>
    </w:p>
    <w:p>
      <w:pPr>
        <w:pStyle w:val="Heading2"/>
        <w:snapToGrid w:val="0"/>
      </w:pPr>
      <w:r>
        <w:t>13.1 流水作为事实依据</w:t>
      </w:r>
    </w:p>
    <w:p>
      <w:r>
        <w:rPr>
          <w:b w:val="0"/>
        </w:rPr>
        <w:t>所有积分变更调用统一服务，在一个事务中写入事件、学生流水和汇总。biz_score_log禁止业务人员直接修改或逻辑删除，错误通过反向流水纠正。学生扩展表不使用volume_score文本JSON作为唯一余额来源。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463"/>
      </w:tblGrid>
      <w:tr>
        <w:trPr>
          <w:tblHeader/>
          <w:cantSplit/>
        </w:trPr>
        <w:tc>
          <w:tcPr>
            <w:tcW w:type="dxa" w:w="3175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表</w:t>
            </w:r>
          </w:p>
        </w:tc>
        <w:tc>
          <w:tcPr>
            <w:tcW w:type="dxa" w:w="6463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关键字段或约束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biz_score_event</w:t>
            </w:r>
          </w:p>
        </w:tc>
        <w:tc>
          <w:tcPr>
            <w:tcW w:type="dxa" w:w="646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event_id；idempotency_key唯一；event_type；lesson_id；pk_match_id可空；操作者；规则版本；发生时间。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biz_score_log</w:t>
            </w:r>
          </w:p>
        </w:tc>
        <w:tc>
          <w:tcPr>
            <w:tcW w:type="dxa" w:w="6463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log_id；event_id；student_user_id；发生时学校、班级、学年、年级；courseware_id与版本；subject_code；volume；stage_code；delta_score；reversal_of_log_id。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biz_student_score_summary</w:t>
            </w:r>
          </w:p>
        </w:tc>
        <w:tc>
          <w:tcPr>
            <w:tcW w:type="dxa" w:w="646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学生与统计维度键唯一；total_score；version；更新时间。至少支持课件、册次、年级学期和总分聚合。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建议积分使用整数；是否允许负分须参数化并固定校验位置，建议默认余额不低于0。若扣减越界则拒绝整个业务事件或按明确策略处理，禁止每个页面自行决定。撤销事件关联原流水并限制重复撤销。</w:t>
      </w:r>
    </w:p>
    <w:p>
      <w:pPr>
        <w:pStyle w:val="Heading2"/>
        <w:snapToGrid w:val="0"/>
      </w:pPr>
      <w:r>
        <w:t>13.2 幂等与并发</w:t>
      </w:r>
    </w:p>
    <w:p>
      <w:pPr>
        <w:pStyle w:val="ListBullet"/>
        <w:spacing w:after="80"/>
        <w:snapToGrid w:val="0"/>
      </w:pPr>
      <w:r>
        <w:t>同一对战结算、同一批全体加分、同一游戏回调均使用唯一业务幂等键。前端重复点击、网关重试和厂商重复回调只能入账一次。</w:t>
      </w:r>
    </w:p>
    <w:p>
      <w:pPr>
        <w:pStyle w:val="ListBullet"/>
        <w:spacing w:after="80"/>
        <w:snapToGrid w:val="0"/>
      </w:pPr>
      <w:r>
        <w:t>一场小组奖励生成一个父事件和多条学生流水；单次小组结算要求原子成功。大规模批处理采用任务状态与可恢复分块，不静默出现部分成功。</w:t>
      </w:r>
    </w:p>
    <w:p>
      <w:pPr>
        <w:pStyle w:val="ListBullet"/>
        <w:spacing w:after="80"/>
        <w:snapToGrid w:val="0"/>
      </w:pPr>
      <w:r>
        <w:t>同步更新汇总时使用数据库原子增量或乐观锁。提供定时核对与从流水重建汇总工具，记录差异和修复结果。</w:t>
      </w:r>
    </w:p>
    <w:p>
      <w:pPr>
        <w:pStyle w:val="Heading2"/>
        <w:snapToGrid w:val="0"/>
      </w:pPr>
      <w:r>
        <w:t>13.3 排名口径</w:t>
      </w:r>
    </w:p>
    <w:p>
      <w:r>
        <w:rPr>
          <w:b w:val="0"/>
        </w:rPr>
        <w:t>提供班级课件榜、班级册次榜、年级学期榜和全校总榜。班级、年级及学校统计使用事件发生时归属；学生个人总分可跨校累计展示，学校榜仅包含本校发生的积分。转班转校不把旧校积分搬进新校榜。</w:t>
      </w:r>
    </w:p>
    <w:p>
      <w:r>
        <w:rPr>
          <w:b w:val="0"/>
        </w:rPr>
        <w:t>试用账号默认不参与官方榜，流水记录发生时是否计入正式榜，避免后续修改is_trial追溯改变成绩。并列排名建议同分同名次；查询固定次级排序保证分页稳定。榜单刷新延迟默认不超过5秒，可按容量测试调整。</w:t>
      </w:r>
    </w:p>
    <w:p>
      <w:pPr>
        <w:pStyle w:val="Heading2"/>
        <w:snapToGrid w:val="0"/>
      </w:pPr>
      <w:r>
        <w:t>13.4 审计与人工调整</w:t>
      </w:r>
    </w:p>
    <w:p>
      <w:r>
        <w:rPr>
          <w:b w:val="0"/>
        </w:rPr>
        <w:t>人工调整为独立权限，必须填写原因，支持调整前后值和来源追踪；大额或批量调整增加二次确认。积分流水记录不存明文敏感凭据，导出遵守与查询相同的学校和班级边界。</w:t>
      </w:r>
    </w:p>
    <w:p>
      <w:pPr>
        <w:pStyle w:val="Heading1"/>
        <w:pageBreakBefore/>
        <w:snapToGrid w:val="0"/>
      </w:pPr>
      <w:r>
        <w:t>十四 数据权限实现与接口规范</w:t>
      </w:r>
    </w:p>
    <w:p>
      <w:pPr>
        <w:pStyle w:val="Heading2"/>
        <w:snapToGrid w:val="0"/>
      </w:pPr>
      <w:r>
        <w:t>14.1 查询和写入分别约束</w:t>
      </w:r>
    </w:p>
    <w:p>
      <w:r>
        <w:rPr>
          <w:b w:val="0"/>
        </w:rPr>
        <w:t>部门级列表可复用@DataScope，但必须保证Service参数适配且Mapper实际使用生成的数据范围条件。它不是自动覆盖所有SQL的全局过滤器，不能只加注解而不检查最终查询。业务school_id需关联学校部门节点并使用正确别名。</w:t>
      </w:r>
    </w:p>
    <w:p>
      <w:r>
        <w:rPr>
          <w:b w:val="0"/>
        </w:rPr>
        <w:t>老师任教班级与学生本人范围使用统一业务权限服务，提供可访问学校集合、可访问班级集合和对象级检查。详情、写入、导出、批量操作、文件签名及游戏入口全部调用。禁止仅在列表加过滤，而详情按ID直接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597"/>
      </w:tblGrid>
      <w:tr>
        <w:trPr>
          <w:tblHeader/>
          <w:cantSplit/>
        </w:trPr>
        <w:tc>
          <w:tcPr>
            <w:tcW w:type="dxa" w:w="204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接口场景</w:t>
            </w:r>
          </w:p>
        </w:tc>
        <w:tc>
          <w:tcPr>
            <w:tcW w:type="dxa" w:w="759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服务端必查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新增或迁移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目标学校、班级、老师关系、角色委派范围；不信任客户端school_id。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修改或删除</w:t>
            </w:r>
          </w:p>
        </w:tc>
        <w:tc>
          <w:tcPr>
            <w:tcW w:type="dxa" w:w="759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先查目标对象并校验归属，再做状态与版本校验；批量逐项检查。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导入或导出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导入每行校验范围；导出使用同一筛选和权限，不允许绕开分页后导全表。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游戏或文件</w:t>
            </w:r>
          </w:p>
        </w:tc>
        <w:tc>
          <w:tcPr>
            <w:tcW w:type="dxa" w:w="759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校验当前身份、资源池、授权、用途及版本；鉴权失败不得先返回真实受保护地址。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14.2 接口与权限标识</w:t>
      </w:r>
    </w:p>
    <w:p>
      <w:r>
        <w:rPr>
          <w:b w:val="0"/>
        </w:rPr>
        <w:t>业务接口统一位于/biz下，例如 /biz/game、/biz/courseware、/biz/student、/biz/entitlement、/biz/lesson、/biz/score。权限标识统一biz:模块:list、query、add、edit、remove、import、export，并为publish、preview、resetPwd、grant等高风险动作单独定义。</w:t>
      </w:r>
    </w:p>
    <w:p>
      <w:r>
        <w:rPr>
          <w:b w:val="0"/>
        </w:rPr>
        <w:t>列表服务端分页并限制pageSize，建议最大100。排序字段使用白名单；对象ID和时间格式统一。JSON主键在前端按字符串处理，避免bigint超过JavaScript安全整数范围。新增修改采用DTO白名单映射，不直接绑定完整数据库实体。</w:t>
      </w:r>
    </w:p>
    <w:p>
      <w:pPr>
        <w:pStyle w:val="Heading2"/>
        <w:snapToGrid w:val="0"/>
      </w:pPr>
      <w:r>
        <w:t>14.3 错误与幂等</w:t>
      </w:r>
    </w:p>
    <w:p>
      <w:r>
        <w:rPr>
          <w:b w:val="0"/>
        </w:rPr>
        <w:t>复用若依响应格式和全局异常处理；业务错误包含稳定业务码和可读提示，禁止将SQL、堆栈、厂商密钥返回前端。ServiceException可作为常用业务异常，上传和第三方异常通过适配层统一转换，不以“禁止所有自定义异常”限制可维护性。</w:t>
      </w:r>
    </w:p>
    <w:p>
      <w:r>
        <w:rPr>
          <w:b w:val="0"/>
        </w:rPr>
        <w:t>激活码兑换、积分事件、评分任务与批处理提交均提供幂等键或唯一请求号；接口文档写明重复提交结果。修改支持版本冲突反馈，不能后提交者无提示覆盖已发布配置。</w:t>
      </w:r>
    </w:p>
    <w:p>
      <w:pPr>
        <w:pStyle w:val="Heading2"/>
        <w:snapToGrid w:val="0"/>
      </w:pPr>
      <w:r>
        <w:t>14.4 菜单与前端组件</w:t>
      </w:r>
    </w:p>
    <w:p>
      <w:r>
        <w:rPr>
          <w:b w:val="0"/>
        </w:rPr>
        <w:t>业务菜单由后台配置生成；前端维护允许加载的页面组件映射与固定基础路由，禁止动态执行后台任意组件路径。404、403、登录和票据交换等基础路由可以固定。按钮显隐统一v-hasPermi，菜单存在不代表拥有资源学习权限。</w:t>
      </w:r>
    </w:p>
    <w:p>
      <w:pPr>
        <w:pStyle w:val="Heading1"/>
        <w:pageBreakBefore/>
        <w:snapToGrid w:val="0"/>
      </w:pPr>
      <w:r>
        <w:t>十五 数据库与迁移规范</w:t>
      </w:r>
    </w:p>
    <w:p>
      <w:pPr>
        <w:pStyle w:val="Heading2"/>
        <w:snapToGrid w:val="0"/>
      </w:pPr>
      <w:r>
        <w:t>15.1 类型 关联与公共字段</w:t>
      </w:r>
    </w:p>
    <w:p>
      <w:r>
        <w:rPr>
          <w:b w:val="0"/>
        </w:rPr>
        <w:t>业务表统一biz_前缀。主键bigint；编码varchar且长度明确；时间datetime按UTC存储，由前端以Asia/Shanghai展示；积分int；配置采用MySQL JSON并有Schema版本。学校到期日期若只输入日期，界面明确到期当日可用，后端转为次日00:00对应UTC时刻。</w:t>
      </w:r>
    </w:p>
    <w:p>
      <w:r>
        <w:rPr>
          <w:b w:val="0"/>
        </w:rPr>
        <w:t>可修改业务实体统一包含create_by、create_time、update_by、update_time、remark、del_flag。不可变积分、审计、兑换事件不机械套用可修改删除模型，只保留必要发生人与时间。原生表已有的字段不重复新增。</w:t>
      </w:r>
    </w:p>
    <w:p>
      <w:r>
        <w:rPr>
          <w:b w:val="0"/>
        </w:rPr>
        <w:t>核心关联需有索引和一致性约束；数据库外键优先用于业务模块内部。涉及原生表若不使用物理外键，须有等价的服务校验、事务和巡检。禁止用0表示不存在的学校，删除父对象前检查引用。</w:t>
      </w:r>
    </w:p>
    <w:p>
      <w:pPr>
        <w:pStyle w:val="Heading2"/>
        <w:snapToGrid w:val="0"/>
      </w:pPr>
      <w:r>
        <w:t>15.2 唯一性与删除策略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725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账号、学校编码、游戏编码、学校学号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身份标识建议不因逻辑删除而复用，避免历史记录指错对象；恢复原记录走恢复流程。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手机号</w:t>
            </w:r>
          </w:p>
        </w:tc>
        <w:tc>
          <w:tcPr>
            <w:tcW w:type="dxa" w:w="725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未绑定为NULL，绑定全局唯一；账号注销后是否释放按确认策略执行，并保留脱敏变更审计。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显示名称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可重建的名称允许删除后复用时，使用有效记录生成列或唯一占位机制。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错误做法</w:t>
            </w:r>
          </w:p>
        </w:tc>
        <w:tc>
          <w:tcPr>
            <w:tcW w:type="dxa" w:w="725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不能简单以业务键加del_flag建立联合唯一就宣称支持任意次删除重建，该结构可能只能容纳一条删除记录。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15.3 索引按查询设计</w:t>
      </w:r>
    </w:p>
    <w:p>
      <w:r>
        <w:rPr>
          <w:b w:val="0"/>
        </w:rPr>
        <w:t>示例组合索引：学生(school_id,class_id,del_flag)；任教(teacher_user_id,class_id,end_time)；配音(school_id,class_id,volume,answer_time)；授权(student_user_id,status,end_time)；积分(student_user_id,courseware_id,create_time)。游戏分类、状态、排序按实际分页SQL设计索引。</w:t>
      </w:r>
    </w:p>
    <w:p>
      <w:r>
        <w:rPr>
          <w:b w:val="0"/>
        </w:rPr>
        <w:t>不要求每个字段都加单列索引，也不写“禁止任何全表扫描”这类无法实际验收的规则。以核心查询执行计划、数据规模和耗时为依据，避免无效索引与过多写入成本。</w:t>
      </w:r>
    </w:p>
    <w:p>
      <w:pPr>
        <w:pStyle w:val="Heading2"/>
        <w:snapToGrid w:val="0"/>
      </w:pPr>
      <w:r>
        <w:t>15.4 SQL交付</w:t>
      </w:r>
    </w:p>
    <w:p>
      <w:r>
        <w:rPr>
          <w:b w:val="0"/>
        </w:rPr>
        <w:t>交付原生基线说明、增量迁移、业务建表、初始化菜单角色字典、开发演示数据和回滚说明。迁移按V001等编号执行，记录已执行版本，重复执行要能识别已应用。不得在生产脚本中自动删除数据库或创建固定共享密码。</w:t>
      </w:r>
    </w:p>
    <w:p>
      <w:r>
        <w:rPr>
          <w:b w:val="0"/>
        </w:rPr>
        <w:t>先提供ER关系、字段类型、NULL与默认值、唯一键、外键或替代校验、索引及初始化顺序。空库建表、升级迁移、约束冲突和回滚恢复均需验证；数据库尚未建立不影响先完成SQL评审。</w:t>
      </w:r>
    </w:p>
    <w:p>
      <w:pPr>
        <w:pStyle w:val="Heading1"/>
        <w:pageBreakBefore/>
        <w:snapToGrid w:val="0"/>
      </w:pPr>
      <w:r>
        <w:t>十六 审计 运维与非功能要求</w:t>
      </w:r>
    </w:p>
    <w:p>
      <w:pPr>
        <w:pStyle w:val="Heading2"/>
        <w:snapToGrid w:val="0"/>
      </w:pPr>
      <w:r>
        <w:t>16.1 操作审计</w:t>
      </w:r>
    </w:p>
    <w:p>
      <w:r>
        <w:rPr>
          <w:b w:val="0"/>
        </w:rPr>
        <w:t>核心操作使用若依@Log并按需要补充业务事件日志：导入、密码重置、转校、学校停用、课件发布、游戏发布、积分调整、授权发放与撤销、激活码导出。记录操作人、范围、时间、目标、结果和关联请求号。</w:t>
      </w:r>
    </w:p>
    <w:p>
      <w:r>
        <w:rPr>
          <w:b w:val="0"/>
        </w:rPr>
        <w:t>禁止完整记录密码、Token、验证码和激活码明文；手机号按权限脱敏。查询和导出审计本身也受权限控制。记录保留时长、学生录音清理与归档策略需在上线前确认，并支持实际执行及追踪。</w:t>
      </w:r>
    </w:p>
    <w:p>
      <w:pPr>
        <w:pStyle w:val="Heading2"/>
        <w:snapToGrid w:val="0"/>
      </w:pPr>
      <w:r>
        <w:t>16.2 调度与缓存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597"/>
      </w:tblGrid>
      <w:tr>
        <w:trPr>
          <w:tblHeader/>
          <w:cantSplit/>
        </w:trPr>
        <w:tc>
          <w:tcPr>
            <w:tcW w:type="dxa" w:w="204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759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职责与边界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到期与提醒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每日维护学校、授权、兑换批次状态；到期前7、3、1天站内提醒，失败可重试且不重复发送。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积分核对</w:t>
            </w:r>
          </w:p>
        </w:tc>
        <w:tc>
          <w:tcPr>
            <w:tcW w:type="dxa" w:w="759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核对流水与汇总，异常告警，修复留痕；不能悄悄覆盖历史事实。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文件清理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清理未完成上传、过期导出和无引用文件；受历史版本引用的资源不直接删除。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评分任务</w:t>
            </w:r>
          </w:p>
        </w:tc>
        <w:tc>
          <w:tcPr>
            <w:tcW w:type="dxa" w:w="759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处理待评分、超时核验和有限重试；任务互斥、幂等，并记录厂商费用相关调用量。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字典与参数优先使用原生缓存；业务缓存key包含学校或资源范围，修改后主动失效。安全关键权限建议最长缓存30秒，撤销与停用主动清理；若清理异常，必须有请求级校验或失败关闭策略。不能将旧权限无限续期。</w:t>
      </w:r>
    </w:p>
    <w:p>
      <w:pPr>
        <w:pStyle w:val="Heading2"/>
        <w:snapToGrid w:val="0"/>
      </w:pPr>
      <w:r>
        <w:t>16.3 安全与恢复</w:t>
      </w:r>
    </w:p>
    <w:p>
      <w:pPr>
        <w:pStyle w:val="ListBullet"/>
        <w:spacing w:after="80"/>
        <w:snapToGrid w:val="0"/>
      </w:pPr>
      <w:r>
        <w:t>生产使用HTTPS；密钥由环境或密钥服务注入。根据Token与Cookie实际方案配置CSRF、CORS、SameSite及跨源游戏会话，不以关闭安全校验解决接入问题。</w:t>
      </w:r>
    </w:p>
    <w:p>
      <w:pPr>
        <w:pStyle w:val="ListBullet"/>
        <w:spacing w:after="80"/>
        <w:snapToGrid w:val="0"/>
      </w:pPr>
      <w:r>
        <w:t>文件访问、数据库和Redis不直接暴露公网；后台管理与游戏执行环境隔离。扫描依赖和上传内容，发布保留版本与来源。</w:t>
      </w:r>
    </w:p>
    <w:p>
      <w:pPr>
        <w:pStyle w:val="ListBullet"/>
        <w:spacing w:after="80"/>
        <w:snapToGrid w:val="0"/>
      </w:pPr>
      <w:r>
        <w:t>提供数据库、文件和必要配置备份以及恢复演练。建议默认RPO不超过24小时、RTO不超过4小时；正式目标依据业务与部署成本确认。</w:t>
      </w:r>
    </w:p>
    <w:p>
      <w:pPr>
        <w:pStyle w:val="Heading2"/>
        <w:snapToGrid w:val="0"/>
      </w:pPr>
      <w:r>
        <w:t>16.4 性能验收基线</w:t>
      </w:r>
    </w:p>
    <w:p>
      <w:r>
        <w:rPr>
          <w:b w:val="0"/>
        </w:rPr>
        <w:t>建议第一期测试规模为100所学校、10万学生、1000款游戏、100万积分流水、100个并发活跃用户。普通列表与权限校验P95不超过1秒，榜单可见延迟不超过5秒；不含第三方评分、视频下载和大导出。测试报告记录硬件、数据分布、网络与接口范围；本数值是验收基线，不是未经测试的容量承诺。</w:t>
      </w:r>
    </w:p>
    <w:p>
      <w:pPr>
        <w:pStyle w:val="Heading1"/>
        <w:pageBreakBefore/>
        <w:snapToGrid w:val="0"/>
      </w:pPr>
      <w:r>
        <w:t>十七 分期交付与验收用例</w:t>
      </w:r>
    </w:p>
    <w:p>
      <w:pPr>
        <w:pStyle w:val="Heading2"/>
        <w:snapToGrid w:val="0"/>
      </w:pPr>
      <w:r>
        <w:t>17.1 交付阶段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195"/>
        <w:gridCol w:w="3572"/>
      </w:tblGrid>
      <w:tr>
        <w:trPr>
          <w:tblHeader/>
          <w:cantSplit/>
        </w:trPr>
        <w:tc>
          <w:tcPr>
            <w:tcW w:type="dxa" w:w="187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195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3572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完成边界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第一期 基础闭环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账号登录、手机号状态、组织班级、用户RBAC、课件底座、游戏目录、星球安全接入、SQL及部署说明。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无需AI、PK即可完整演示管理员管理、老师预览、学生无权限拦截；学生授权以管理员手动发放建立闭环。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第二期 授权运营</w:t>
            </w:r>
          </w:p>
        </w:tc>
        <w:tc>
          <w:tcPr>
            <w:tcW w:type="dxa" w:w="4195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学校资源池完整运营、激活码批次与兑换、授权撤销续期、课件定制发布和批量导入。</w:t>
            </w:r>
          </w:p>
        </w:tc>
        <w:tc>
          <w:tcPr>
            <w:tcW w:type="dxa" w:w="3572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实现学校与个人双重授权，期限和并发兑换通过验收。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第三期 课堂积分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分组方案、课时与PK、积分流水、汇总榜单和撤销。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重复请求不重复计分，重分与转校不污染历史。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第四期 配音测评</w:t>
            </w:r>
          </w:p>
        </w:tc>
        <w:tc>
          <w:tcPr>
            <w:tcW w:type="dxa" w:w="4195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素材库、录音、抽题实例、AI评分适配、重试与导出。</w:t>
            </w:r>
          </w:p>
        </w:tc>
        <w:tc>
          <w:tcPr>
            <w:tcW w:type="dxa" w:w="3572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真实样本验证评分能力，隐私访问和费用限制通过验收。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分期只限制交付范围，不取消前置设计：第一期即确定稳定身份、课件版本、游戏编号和授权接口，后续新增功能不依赖大规模重建主表。手机号短信服务未提供时，第一期使用受控的测试适配器演示，生产未验证号码不得登录。</w:t>
      </w:r>
    </w:p>
    <w:p>
      <w:pPr>
        <w:pStyle w:val="Heading2"/>
        <w:snapToGrid w:val="0"/>
      </w:pPr>
      <w:r>
        <w:t>17.2 必测场景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617"/>
      </w:tblGrid>
      <w:tr>
        <w:trPr>
          <w:tblHeader/>
          <w:cantSplit/>
        </w:trPr>
        <w:tc>
          <w:tcPr>
            <w:tcW w:type="dxa" w:w="1020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861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操作与预期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AC01</w:t>
            </w:r>
          </w:p>
        </w:tc>
        <w:tc>
          <w:tcPr>
            <w:tcW w:type="dxa" w:w="86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老师登录只看到其已授权菜单；学生登录不出现管理菜单，直接请求管理API返回403。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AC02</w:t>
            </w:r>
          </w:p>
        </w:tc>
        <w:tc>
          <w:tcPr>
            <w:tcW w:type="dxa" w:w="861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学生复制星球游戏真实HTML、资源及业务入口，均无法获得受保护内容；老师可从菜单进入。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AC03</w:t>
            </w:r>
          </w:p>
        </w:tc>
        <w:tc>
          <w:tcPr>
            <w:tcW w:type="dxa" w:w="86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学校A管理员请求学校B详情、导出、批量重置或修改角色，全部拒绝；不能自提为上级管理员。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AC04</w:t>
            </w:r>
          </w:p>
        </w:tc>
        <w:tc>
          <w:tcPr>
            <w:tcW w:type="dxa" w:w="861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学校或账号停用、授权撤销后，现有登录访问被阻止；学校和授权到期在边界时刻生效。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AC05</w:t>
            </w:r>
          </w:p>
        </w:tc>
        <w:tc>
          <w:tcPr>
            <w:tcW w:type="dxa" w:w="86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相同手机号、学校学号的并发新增由数据库约束拦截；未验证手机号不能登录。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AC06</w:t>
            </w:r>
          </w:p>
        </w:tc>
        <w:tc>
          <w:tcPr>
            <w:tcW w:type="dxa" w:w="861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两个学生同时兑换同一码，只一人成功；重复兑换不增加第二份授权。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AC07</w:t>
            </w:r>
          </w:p>
        </w:tc>
        <w:tc>
          <w:tcPr>
            <w:tcW w:type="dxa" w:w="86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重复PK结算、重复回调和撤销请求不重复入账；汇总能由流水重建且一致。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AC08</w:t>
            </w:r>
          </w:p>
        </w:tc>
        <w:tc>
          <w:tcPr>
            <w:tcW w:type="dxa" w:w="861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转班转校、重分和模板升级后，历史配音、PK及学校榜归属不变。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AC09</w:t>
            </w:r>
          </w:p>
        </w:tc>
        <w:tc>
          <w:tcPr>
            <w:tcW w:type="dxa" w:w="86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AI超时显示待处理或失败，不显示伪造分数；重试有上限，过期私有录音链接不可用。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AC10</w:t>
            </w:r>
          </w:p>
        </w:tc>
        <w:tc>
          <w:tcPr>
            <w:tcW w:type="dxa" w:w="861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空库SQL、前后端独立构建、浏览器兼容和游戏版本回滚全部可复现。</w:t>
            </w:r>
          </w:p>
        </w:tc>
      </w:tr>
    </w:tbl>
    <w:p>
      <w:pPr>
        <w:spacing w:after="0"/>
        <w:snapToGrid w:val="0"/>
      </w:pPr>
    </w:p>
    <w:p>
      <w:pPr>
        <w:pStyle w:val="Heading1"/>
        <w:pageBreakBefore/>
        <w:snapToGrid w:val="0"/>
      </w:pPr>
      <w:r>
        <w:t>十八 评审确认与交付清单</w:t>
      </w:r>
    </w:p>
    <w:p>
      <w:pPr>
        <w:pStyle w:val="Heading2"/>
        <w:snapToGrid w:val="0"/>
      </w:pPr>
      <w:r>
        <w:t>18.1 需要确认的业务选择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6009"/>
        <w:gridCol w:w="1644"/>
      </w:tblGrid>
      <w:tr>
        <w:trPr>
          <w:tblHeader/>
          <w:cantSplit/>
        </w:trPr>
        <w:tc>
          <w:tcPr>
            <w:tcW w:type="dxa" w:w="198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6009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本版建议默认</w:t>
            </w:r>
          </w:p>
        </w:tc>
        <w:tc>
          <w:tcPr>
            <w:tcW w:type="dxa" w:w="1644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确认责任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前端方案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采用Vue3与Element Plus，替代早期React要求。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项目负责人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星球与其他游戏</w:t>
            </w:r>
          </w:p>
        </w:tc>
        <w:tc>
          <w:tcPr>
            <w:tcW w:type="dxa" w:w="6009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星球仅老师和管理员；其他游戏按具体策略开放，不因角色为学生一律禁止全部游戏。</w:t>
            </w:r>
          </w:p>
        </w:tc>
        <w:tc>
          <w:tcPr>
            <w:tcW w:type="dxa" w:w="164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产品负责人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注册与手机号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学校开启注册后使用邀请码或名单校验；一个手机号绑定一个账号，家长号码另存。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学校运营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学校与授权到期</w:t>
            </w:r>
          </w:p>
        </w:tc>
        <w:tc>
          <w:tcPr>
            <w:tcW w:type="dxa" w:w="6009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指定日期当日可用；兑换后完整valid_days；人工停用与到期分开管理。</w:t>
            </w:r>
          </w:p>
        </w:tc>
        <w:tc>
          <w:tcPr>
            <w:tcW w:type="dxa" w:w="164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业务负责人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PK与积分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默认关闭失败者补位；轮空不加分；默认积分不为负；同课件每次授课独立课时。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教学负责人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转校与素材复用</w:t>
            </w:r>
          </w:p>
        </w:tc>
        <w:tc>
          <w:tcPr>
            <w:tcW w:type="dxa" w:w="6009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旧校明细保留原归属；素材默认可被同册多个课件复用。</w:t>
            </w:r>
          </w:p>
        </w:tc>
        <w:tc>
          <w:tcPr>
            <w:tcW w:type="dxa" w:w="1644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教学与运营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AI与容量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评分供应商及六维能力先实测；设备最低版本、性能规模、恢复目标按预算确认。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技术与业务</w:t>
            </w:r>
          </w:p>
        </w:tc>
      </w:tr>
    </w:tbl>
    <w:p>
      <w:pPr>
        <w:spacing w:after="0"/>
        <w:snapToGrid w:val="0"/>
      </w:pPr>
    </w:p>
    <w:p>
      <w:r>
        <w:rPr>
          <w:b w:val="0"/>
        </w:rPr>
        <w:t>这些事项使用建议默认支持原型和估算；未确认的外部服务能力、业务边界和容量目标不得直接作为已验收事实。确认结果进入版本记录，不以口头描述覆盖数据库或历史规则。</w:t>
      </w:r>
    </w:p>
    <w:p>
      <w:pPr>
        <w:pStyle w:val="Heading2"/>
        <w:snapToGrid w:val="0"/>
      </w:pPr>
      <w:r>
        <w:t>18.2 每期交付物</w:t>
      </w:r>
    </w:p>
    <w:p>
      <w:pPr>
        <w:pStyle w:val="ListBullet"/>
        <w:spacing w:after="80"/>
        <w:snapToGrid w:val="0"/>
      </w:pPr>
      <w:r>
        <w:t>独立前端和后端源码、版本锁定、环境配置样例、构建与启动步骤；不包含真实生产密钥。</w:t>
      </w:r>
    </w:p>
    <w:p>
      <w:pPr>
        <w:pStyle w:val="ListBullet"/>
        <w:spacing w:after="80"/>
        <w:snapToGrid w:val="0"/>
      </w:pPr>
      <w:r>
        <w:t>ER关系、完整字段字典、建表与迁移SQL、角色菜单权限字典初始化、脱敏演示数据及执行顺序。</w:t>
      </w:r>
    </w:p>
    <w:p>
      <w:pPr>
        <w:pStyle w:val="ListBullet"/>
        <w:spacing w:after="80"/>
        <w:snapToGrid w:val="0"/>
      </w:pPr>
      <w:r>
        <w:t>接口文档、权限矩阵、游戏manifest与接入说明、外部游戏实际鉴权能力清单。</w:t>
      </w:r>
    </w:p>
    <w:p>
      <w:pPr>
        <w:pStyle w:val="ListBullet"/>
        <w:spacing w:after="80"/>
        <w:snapToGrid w:val="0"/>
      </w:pPr>
      <w:r>
        <w:t>功能与越权测试报告、浏览器验证记录、性能测试条件、部署回滚说明及备份恢复记录。</w:t>
      </w:r>
    </w:p>
    <w:p>
      <w:pPr>
        <w:pStyle w:val="Heading2"/>
        <w:snapToGrid w:val="0"/>
      </w:pPr>
      <w:r>
        <w:t>18.3 后续扩展</w:t>
      </w:r>
    </w:p>
    <w:p>
      <w:r>
        <w:rPr>
          <w:b w:val="0"/>
        </w:rPr>
        <w:t>短信找回密码复用验证服务；学校级参数单独建立biz_school_config，不直接假定原生sys_config自带学校隔离；家长多孩账号另行建模；跨校任教通过有效任职关系扩展；新学科遵守课件扩展与Schema规范。游戏回调和课时ID已在本版实际设计，不再仅写预留字段。</w:t>
      </w:r>
    </w:p>
    <w:p>
      <w:r>
        <w:rPr>
          <w:b w:val="0"/>
        </w:rPr>
        <w:t>本说明书作为开发评审与验收依据。进入实施前确认范围、原生基线、外部服务和未决业务规则；实施中新增需求形成版本变更，记录对数据、权限、费用及工期的影响。</w:t>
      </w:r>
    </w:p>
    <w:p>
      <w:pPr>
        <w:pStyle w:val="Heading1"/>
        <w:pageBreakBefore/>
        <w:snapToGrid w:val="0"/>
      </w:pPr>
      <w:r>
        <w:t>附录一 业务表与关联清单</w:t>
      </w:r>
    </w:p>
    <w:p>
      <w:r>
        <w:rPr>
          <w:b w:val="0"/>
        </w:rPr>
        <w:t>下表用于建模与SQL评审。字段细节以对应章节为业务要求，开发交付需补全精确DDL与ER图；本表不等同于已完成数据库脚本。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187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type="dxa" w:w="776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表及主要关联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复用原生表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sys_user、sys_role、sys_menu、sys_user_role、sys_role_menu、sys_dept、sys_role_dept、sys_dict_type、sys_dict_data、sys_config及原生日志和调度表。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组织与学校</w:t>
            </w:r>
          </w:p>
        </w:tc>
        <w:tc>
          <w:tcPr>
            <w:tcW w:type="dxa" w:w="776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biz_org_extend.dept_id → sys_dept；biz_school.school_id → 学校部门；biz_class.school_id → biz_school。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账号与关系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biz_student_extend.user_id → sys_user；biz_teacher_class → 用户和班级；biz_student_class_history → 学生、学校和班级。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课件及版本</w:t>
            </w:r>
          </w:p>
        </w:tc>
        <w:tc>
          <w:tcPr>
            <w:tcW w:type="dxa" w:w="776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biz_courseware_base；biz_courseware_version → 课件；biz_courseware_math、biz_courseware_read → 课件。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游戏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biz_game；biz_courseware_game → 课件和游戏。发布游戏的不可变manifest和版本清单随资产保留。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资源和授权</w:t>
            </w:r>
          </w:p>
        </w:tc>
        <w:tc>
          <w:tcPr>
            <w:tcW w:type="dxa" w:w="776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biz_school_resource → 学校及资源范围；biz_student_entitlement → 学生及发放来源；biz_entitlement_scope → 授权项和范围。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激活码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biz_activate_code_batch；biz_activate_code → 批次、兑换学生；授权source_id可追溯对应兑换记录。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文件与配置</w:t>
            </w:r>
          </w:p>
        </w:tc>
        <w:tc>
          <w:tcPr>
            <w:tcW w:type="dxa" w:w="776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biz_file；biz_school_config以school_id与config_key唯一。业务文件引用不可变object_key。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配音与测评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biz_dubbing_material；biz_dubbing_material_tag；biz_dubbing_material_version；biz_dubbing_exam_config；biz_dubbing_exam_attempt；biz_dubbing_exam_attempt_item；biz_student_dubbing_record。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分组与课堂</w:t>
            </w:r>
          </w:p>
        </w:tc>
        <w:tc>
          <w:tcPr>
            <w:tcW w:type="dxa" w:w="776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biz_group_plan；biz_class_group → 方案；biz_student_group → 小组与学生；biz_lesson_session → 班级、老师和课件版本。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biz_pk_session → 课时与方案；biz_pk_round → PK实例；biz_pk_match → 轮次；biz_pk_action → 操作目标与积分事件。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积分</w:t>
            </w:r>
          </w:p>
        </w:tc>
        <w:tc>
          <w:tcPr>
            <w:tcW w:type="dxa" w:w="776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biz_score_event；biz_score_log → 事件、学生、课件版本、课时；biz_student_score_summary保存可重建聚合。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统一约束检查</w:t>
      </w:r>
    </w:p>
    <w:p>
      <w:r>
        <w:rPr>
          <w:b w:val="0"/>
        </w:rPr>
        <w:t>主外键标识采用一致类型。业务编码和枚举具有明确字典；权限状态、幂等事件类型等安全关键常量不能允许普通运营任意改码。可运营的显示名、排序、阈值与范围放配置，结构和安全约束保留在代码与数据库中。</w:t>
      </w:r>
    </w:p>
    <w:p>
      <w:pPr>
        <w:pStyle w:val="Heading1"/>
        <w:pageBreakBefore/>
        <w:snapToGrid w:val="0"/>
      </w:pPr>
      <w:r>
        <w:t>附录二 原生能力核对与修订依据</w:t>
      </w:r>
    </w:p>
    <w:p>
      <w:r>
        <w:rPr>
          <w:b w:val="0"/>
        </w:rPr>
        <w:t>以下为本次修订核对的官方来源，访问日期为2026年10月23日。实施仍需锁定具体commit，防止后续分支更新改变行为。文档中的业务建议不代表这些功能已经由若依实现。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597"/>
      </w:tblGrid>
      <w:tr>
        <w:trPr>
          <w:tblHeader/>
          <w:cantSplit/>
        </w:trPr>
        <w:tc>
          <w:tcPr>
            <w:tcW w:type="dxa" w:w="2041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核对项</w:t>
            </w:r>
          </w:p>
        </w:tc>
        <w:tc>
          <w:tcPr>
            <w:tcW w:type="dxa" w:w="7597"/>
            <w:vAlign w:val="center"/>
            <w:shd w:fill="DCE6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40" w:before="20" w:line="250" w:lineRule="exact"/>
              <w:snapToGrid w:val="0"/>
            </w:pPr>
            <w:r>
              <w:rPr>
                <w:b/>
                <w:sz w:val="18"/>
              </w:rPr>
              <w:t>确认结果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持久层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后端springboot3配置使用MyBatis相关依赖。本版不假设存在MyBatis-Plus自动逻辑删除能力。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部门导入与审计</w:t>
            </w:r>
          </w:p>
        </w:tc>
        <w:tc>
          <w:tcPr>
            <w:tcW w:type="dxa" w:w="759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官方部门控制器提供列表、详情、增改删等接口，未提供文档所称现成部门批量导入；审计注解为@Log。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前端权限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官方Vue3权限指令为v-hasPermi；必须与后端接口权限共同使用。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数据范围</w:t>
            </w:r>
          </w:p>
        </w:tc>
        <w:tc>
          <w:tcPr>
            <w:tcW w:type="dxa" w:w="7597"/>
            <w:vAlign w:val="center"/>
            <w:shd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DataScopeAspect生成条件写入BaseEntity参数；Mapper必须消费条件，其他对象级访问需另行校验。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AI边界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20" w:line="250" w:lineRule="exact"/>
              <w:snapToGrid w:val="0"/>
            </w:pPr>
            <w:r>
              <w:rPr>
                <w:b w:val="0"/>
                <w:sz w:val="18"/>
              </w:rPr>
              <w:t>语音识别介绍证明音频转文字能力，不能据此确认朗读六维评分；需单独验证评测接口。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官方来源</w:t>
      </w:r>
    </w:p>
    <w:p>
      <w:r>
        <w:rPr>
          <w:b/>
        </w:rPr>
        <w:t>若依项目与版本说明</w:t>
      </w:r>
    </w:p>
    <w:p>
      <w:pPr>
        <w:spacing w:after="160"/>
        <w:snapToGrid w:val="0"/>
      </w:pPr>
      <w:r>
        <w:rPr>
          <w:b w:val="0"/>
          <w:sz w:val="16"/>
        </w:rPr>
        <w:t>https://gitee.com/y_project/RuoYi-Vue</w:t>
      </w:r>
    </w:p>
    <w:p>
      <w:r>
        <w:rPr>
          <w:b/>
        </w:rPr>
        <w:t>Spring Boot 3 后端配置</w:t>
      </w:r>
    </w:p>
    <w:p>
      <w:pPr>
        <w:spacing w:after="160"/>
        <w:snapToGrid w:val="0"/>
      </w:pPr>
      <w:r>
        <w:rPr>
          <w:b w:val="0"/>
          <w:sz w:val="16"/>
        </w:rPr>
        <w:t>https://github.com/yangzongzhuan/RuoYi-Vue/blob/springboot3/pom.xml</w:t>
      </w:r>
    </w:p>
    <w:p>
      <w:r>
        <w:rPr>
          <w:b/>
        </w:rPr>
        <w:t>官方部门控制器</w:t>
      </w:r>
    </w:p>
    <w:p>
      <w:pPr>
        <w:spacing w:after="160"/>
        <w:snapToGrid w:val="0"/>
      </w:pPr>
      <w:r>
        <w:rPr>
          <w:b w:val="0"/>
          <w:sz w:val="16"/>
        </w:rPr>
        <w:t>https://github.com/yangzongzhuan/RuoYi-Vue/blob/springboot3/ruoyi-admin/src/main/java/com/ruoyi/web/controller/system/SysDeptController.java</w:t>
      </w:r>
    </w:p>
    <w:p>
      <w:r>
        <w:rPr>
          <w:b/>
        </w:rPr>
        <w:t>官方数据范围切面</w:t>
      </w:r>
    </w:p>
    <w:p>
      <w:pPr>
        <w:spacing w:after="160"/>
        <w:snapToGrid w:val="0"/>
      </w:pPr>
      <w:r>
        <w:rPr>
          <w:b w:val="0"/>
          <w:sz w:val="16"/>
        </w:rPr>
        <w:t>https://github.com/yangzongzhuan/RuoYi-Vue/blob/springboot3/ruoyi-framework/src/main/java/com/ruoyi/framework/aspectj/DataScopeAspect.java</w:t>
      </w:r>
    </w:p>
    <w:p>
      <w:r>
        <w:rPr>
          <w:b/>
        </w:rPr>
        <w:t>官方Vue3权限指令</w:t>
      </w:r>
    </w:p>
    <w:p>
      <w:pPr>
        <w:spacing w:after="160"/>
        <w:snapToGrid w:val="0"/>
      </w:pPr>
      <w:r>
        <w:rPr>
          <w:b w:val="0"/>
          <w:sz w:val="16"/>
        </w:rPr>
        <w:t>https://github.com/yangzongzhuan/RuoYi-Vue3/blob/master/src/directive/permission/hasPermi.js</w:t>
      </w:r>
    </w:p>
    <w:p>
      <w:r>
        <w:rPr>
          <w:b/>
        </w:rPr>
        <w:t>百度语音识别产品说明</w:t>
      </w:r>
    </w:p>
    <w:p>
      <w:pPr>
        <w:spacing w:after="160"/>
        <w:snapToGrid w:val="0"/>
      </w:pPr>
      <w:r>
        <w:rPr>
          <w:b w:val="0"/>
          <w:sz w:val="16"/>
        </w:rPr>
        <w:t>https://ai.baidu.com/tech/speech/asr</w:t>
      </w:r>
    </w:p>
    <w:p>
      <w:pPr>
        <w:pStyle w:val="Heading2"/>
        <w:snapToGrid w:val="0"/>
      </w:pPr>
      <w:r>
        <w:t>修订说明</w:t>
      </w:r>
    </w:p>
    <w:p>
      <w:r>
        <w:rPr>
          <w:b w:val="0"/>
        </w:rPr>
        <w:t>本版为在V1.0基础上的整合修订，保留核心业务目标并重写冲突条款。其新增表、默认策略和分期安排作为待评审的实施基线；数据库SQL、源代码和外部服务接入不属于本次文档优化的已完成交付。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397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智慧教育平台 V1.1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snapToGrid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0" w:lineRule="exact"/>
      <w:snapToGrid w:val="0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60" w:lineRule="exact"/>
      <w:outlineLvl w:val="0"/>
      <w:snapToGrid w:val="0"/>
    </w:pPr>
    <w:rPr>
      <w:rFonts w:ascii="Arial" w:hAnsi="Arial" w:eastAsia="Song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40" w:lineRule="exact"/>
      <w:outlineLvl w:val="1"/>
      <w:snapToGrid w:val="0"/>
    </w:pPr>
    <w:rPr>
      <w:rFonts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300" w:lineRule="exact"/>
      <w:outlineLvl w:val="2"/>
      <w:snapToGrid w:val="0"/>
    </w:pPr>
    <w:rPr>
      <w:rFonts w:ascii="Arial" w:hAnsi="Arial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00" w:lineRule="exact"/>
      <w:contextualSpacing/>
      <w:snapToGrid w:val="0"/>
    </w:pPr>
    <w:rPr>
      <w:rFonts w:ascii="Arial" w:hAnsi="Arial" w:eastAsia="Song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40" w:lineRule="exact"/>
      <w:snapToGrid w:val="0"/>
    </w:pPr>
    <w:rPr>
      <w:rFonts w:ascii="Arial" w:hAnsi="Arial" w:eastAsia="Song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  <w:snapToGrid w:val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snapToGrid w:val="0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snapToGrid w:val="0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snapToGrid w:val="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智慧教育平台开发需求说明书</dc:title>
  <dc:subject>基于RuoYi Vue3与Spring Boot 3的教育平台业务扩展</dc:subject>
  <dc:creator/>
  <cp:keywords>教育管理 课件 游戏 RBAC 授权 SQL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