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0" w:after="0"/>
      </w:pPr>
    </w:p>
    <w:p>
      <w:pPr>
        <w:spacing w:before="0" w:after="0"/>
      </w:pPr>
    </w:p>
    <w:p>
      <w:pPr>
        <w:spacing w:before="0" w:after="0"/>
      </w:pPr>
    </w:p>
    <w:p>
      <w:pPr>
        <w:spacing w:line="360" w:lineRule="auto" w:before="120" w:after="60"/>
        <w:jc w:val="center"/>
      </w:pPr>
      <w:r>
        <w:rPr>
          <w:rFonts w:ascii="黑体" w:hAnsi="黑体" w:eastAsia="黑体"/>
          <w:b/>
          <w:sz w:val="44"/>
        </w:rPr>
        <w:t>高能环境（603588.SH）</w:t>
      </w:r>
    </w:p>
    <w:p>
      <w:pPr>
        <w:spacing w:line="360" w:lineRule="auto" w:before="120" w:after="60"/>
        <w:jc w:val="center"/>
      </w:pPr>
      <w:r>
        <w:rPr>
          <w:rFonts w:ascii="黑体" w:hAnsi="黑体" w:eastAsia="黑体"/>
          <w:b/>
          <w:sz w:val="44"/>
        </w:rPr>
        <w:t>股票分析报告</w:t>
      </w:r>
    </w:p>
    <w:p>
      <w:pPr>
        <w:spacing w:line="360" w:lineRule="auto" w:before="0" w:after="0"/>
        <w:jc w:val="center"/>
      </w:pPr>
      <w:r>
        <w:rPr>
          <w:rFonts w:ascii="宋体" w:hAnsi="宋体" w:eastAsia="宋体"/>
          <w:b w:val="0"/>
          <w:sz w:val="24"/>
        </w:rPr>
        <w:t>——基于量化分析与近一年交易数据的综合评估</w:t>
      </w:r>
    </w:p>
    <w:p>
      <w:pPr>
        <w:spacing w:line="360" w:lineRule="auto" w:before="0" w:after="0"/>
        <w:jc w:val="center"/>
      </w:pPr>
      <w:r>
        <w:rPr>
          <w:rFonts w:ascii="宋体" w:hAnsi="宋体" w:eastAsia="宋体"/>
          <w:b w:val="0"/>
          <w:sz w:val="21"/>
        </w:rPr>
      </w:r>
    </w:p>
    <w:p>
      <w:pPr>
        <w:spacing w:line="360" w:lineRule="auto" w:before="0" w:after="0"/>
        <w:jc w:val="center"/>
      </w:pPr>
      <w:r>
        <w:rPr>
          <w:rFonts w:ascii="宋体" w:hAnsi="宋体" w:eastAsia="宋体"/>
          <w:b w:val="0"/>
          <w:sz w:val="22"/>
        </w:rPr>
        <w:t>数据区间：2025-07-04 至 2026-07-03（242个交易日）</w:t>
      </w:r>
    </w:p>
    <w:p>
      <w:pPr>
        <w:spacing w:line="360" w:lineRule="auto" w:before="0" w:after="0"/>
        <w:jc w:val="center"/>
      </w:pPr>
      <w:r>
        <w:rPr>
          <w:rFonts w:ascii="宋体" w:hAnsi="宋体" w:eastAsia="宋体"/>
          <w:b w:val="0"/>
          <w:sz w:val="22"/>
        </w:rPr>
        <w:t>报告生成日期：2026年7月4日</w:t>
      </w:r>
    </w:p>
    <w:p>
      <w:pPr>
        <w:spacing w:line="360" w:lineRule="auto" w:before="0" w:after="0"/>
        <w:jc w:val="center"/>
      </w:pPr>
      <w:r>
        <w:rPr>
          <w:rFonts w:ascii="宋体" w:hAnsi="宋体" w:eastAsia="宋体"/>
          <w:b w:val="0"/>
          <w:sz w:val="22"/>
        </w:rPr>
        <w:t>数据来源：东方财富 &amp; Tushare金融数据平台</w:t>
      </w:r>
    </w:p>
    <w:p>
      <w:pPr>
        <w:spacing w:line="360" w:lineRule="auto" w:before="0" w:after="0"/>
        <w:jc w:val="center"/>
      </w:pPr>
      <w:r>
        <w:rPr>
          <w:rFonts w:ascii="宋体" w:hAnsi="宋体" w:eastAsia="宋体"/>
          <w:b w:val="0"/>
          <w:sz w:val="21"/>
        </w:rPr>
      </w:r>
    </w:p>
    <w:p>
      <w:pPr>
        <w:spacing w:line="360" w:lineRule="auto" w:before="0" w:after="0"/>
        <w:jc w:val="center"/>
      </w:pPr>
      <w:r>
        <w:rPr>
          <w:rFonts w:ascii="宋体" w:hAnsi="宋体" w:eastAsia="宋体"/>
          <w:b w:val="0"/>
          <w:sz w:val="21"/>
        </w:rPr>
      </w:r>
    </w:p>
    <w:p>
      <w:pPr>
        <w:spacing w:line="360" w:lineRule="auto" w:before="0" w:after="0"/>
        <w:jc w:val="center"/>
      </w:pPr>
      <w:r>
        <w:rPr>
          <w:rFonts w:ascii="宋体" w:hAnsi="宋体" w:eastAsia="宋体"/>
          <w:b/>
          <w:sz w:val="18"/>
        </w:rPr>
        <w:t>【免责声明】</w:t>
      </w:r>
    </w:p>
    <w:p>
      <w:pPr>
        <w:spacing w:line="360" w:lineRule="auto" w:before="0" w:after="0"/>
        <w:jc w:val="center"/>
      </w:pPr>
      <w:r>
        <w:rPr>
          <w:rFonts w:ascii="宋体" w:hAnsi="宋体" w:eastAsia="宋体"/>
          <w:b w:val="0"/>
          <w:sz w:val="18"/>
        </w:rPr>
        <w:t>本报告仅供学习研究参考，不构成任何投资建议。报告中的数据来源于公开市场信息，可能存在延迟或误差。投资者据此操作，风险自担。</w:t>
      </w:r>
    </w:p>
    <w:p>
      <w:r>
        <w:br w:type="page"/>
      </w:r>
    </w:p>
    <w:p>
      <w:pPr>
        <w:spacing w:line="360" w:lineRule="auto" w:before="120" w:after="60"/>
        <w:jc w:val="left"/>
      </w:pPr>
      <w:r>
        <w:rPr>
          <w:rFonts w:ascii="黑体" w:hAnsi="黑体" w:eastAsia="黑体"/>
          <w:b/>
          <w:sz w:val="30"/>
        </w:rPr>
        <w:t>一、量化交易相较于传统手工操作的优势</w:t>
      </w:r>
    </w:p>
    <w:p>
      <w:pPr>
        <w:spacing w:line="360" w:lineRule="auto" w:before="0" w:after="0"/>
        <w:ind w:firstLine="420"/>
        <w:jc w:val="both"/>
      </w:pPr>
      <w:r>
        <w:rPr>
          <w:rFonts w:ascii="宋体" w:hAnsi="宋体" w:eastAsia="宋体"/>
          <w:b w:val="0"/>
          <w:sz w:val="21"/>
        </w:rPr>
        <w:t>量化交易（Quantitative Trading）是指利用数学模型、统计分析和计算机程序来制定和执行交易策略的方式。相较于依赖人工判断和经验决策的传统手工操作交易，量化交易在多个维度上展现出显著优势。以下从六个核心角度进行分析。</w:t>
      </w:r>
    </w:p>
    <w:p>
      <w:pPr>
        <w:spacing w:line="360" w:lineRule="auto" w:before="120" w:after="60"/>
        <w:jc w:val="left"/>
      </w:pPr>
      <w:r>
        <w:rPr>
          <w:rFonts w:ascii="黑体" w:hAnsi="黑体" w:eastAsia="黑体"/>
          <w:b/>
          <w:sz w:val="24"/>
        </w:rPr>
        <w:t>1.1  决策速度与执行效率</w:t>
      </w:r>
    </w:p>
    <w:p>
      <w:pPr>
        <w:spacing w:line="360" w:lineRule="auto" w:before="0" w:after="0"/>
        <w:ind w:firstLine="420"/>
        <w:jc w:val="both"/>
      </w:pPr>
      <w:r>
        <w:rPr>
          <w:rFonts w:ascii="宋体" w:hAnsi="宋体" w:eastAsia="宋体"/>
          <w:b w:val="0"/>
          <w:sz w:val="21"/>
        </w:rPr>
        <w:t>传统手工交易受限于人类的生理反应速度，从信息接收、分析判断到下单执行，通常需要数秒甚至数分钟的延迟。量化交易系统能够在毫秒级别完成从信号识别到订单执行的完整流程，尤其在捕捉日内短线机会和进行高频交易时，这种速度优势是人工操作无法企及的。在高能环境的交易数据中，2026年4月9日单日成交量高达181万手，换手率11.9%，在这种极端行情下，人工操作极易因情绪波动或操作延迟而错失最佳买卖点。</w:t>
      </w:r>
    </w:p>
    <w:p>
      <w:pPr>
        <w:spacing w:line="360" w:lineRule="auto" w:before="120" w:after="60"/>
        <w:jc w:val="left"/>
      </w:pPr>
      <w:r>
        <w:rPr>
          <w:rFonts w:ascii="黑体" w:hAnsi="黑体" w:eastAsia="黑体"/>
          <w:b/>
          <w:sz w:val="24"/>
        </w:rPr>
        <w:t>1.2  纪律性与情绪控制</w:t>
      </w:r>
    </w:p>
    <w:p>
      <w:pPr>
        <w:spacing w:line="360" w:lineRule="auto" w:before="0" w:after="0"/>
        <w:ind w:firstLine="420"/>
        <w:jc w:val="both"/>
      </w:pPr>
      <w:r>
        <w:rPr>
          <w:rFonts w:ascii="宋体" w:hAnsi="宋体" w:eastAsia="宋体"/>
          <w:b w:val="0"/>
          <w:sz w:val="21"/>
        </w:rPr>
        <w:t>人类交易者在面对市场波动时，难以完全避免恐惧和贪婪等情绪干扰。常见的非理性行为包括：在股价大幅上涨后追高买入，或在持续下跌中恐慌性抛售。量化交易系统严格按照预设的规则和模型执行，不受情绪影响，能够保持交易纪律的一致性。例如在高能环境2026年3月13日至17日的剧烈波动中（单日最大跌幅7.37%，次日反弹4.89%），人工交易者极易被情绪驱动做出错误决策，而量化系统能够依据前设的风险参数和交易逻辑冷静应对。</w:t>
      </w:r>
    </w:p>
    <w:p>
      <w:pPr>
        <w:spacing w:line="360" w:lineRule="auto" w:before="120" w:after="60"/>
        <w:jc w:val="left"/>
      </w:pPr>
      <w:r>
        <w:rPr>
          <w:rFonts w:ascii="黑体" w:hAnsi="黑体" w:eastAsia="黑体"/>
          <w:b/>
          <w:sz w:val="24"/>
        </w:rPr>
        <w:t>1.3  数据处理与多因子分析能力</w:t>
      </w:r>
    </w:p>
    <w:p>
      <w:pPr>
        <w:spacing w:line="360" w:lineRule="auto" w:before="0" w:after="0"/>
        <w:ind w:firstLine="420"/>
        <w:jc w:val="both"/>
      </w:pPr>
      <w:r>
        <w:rPr>
          <w:rFonts w:ascii="宋体" w:hAnsi="宋体" w:eastAsia="宋体"/>
          <w:b w:val="0"/>
          <w:sz w:val="21"/>
        </w:rPr>
        <w:t>现代金融市场产生的数据量呈指数级增长，涵盖行情数据、财务数据、宏观经济指标、新闻舆情、社交媒体情绪等多种维度。人工交易者通常只能同时关注有限的数据指标，而量化系统可以实时处理数百甚至数千个变量，进行多因子综合分析。以高能环境为例，定量分析可以同时考察价格动量、成交量变化、换手率、均线偏离度、布林带位置等多维指标，在短时间内形成综合判断，这是人工分析难以高效完成的。</w:t>
      </w:r>
    </w:p>
    <w:p>
      <w:pPr>
        <w:spacing w:line="360" w:lineRule="auto" w:before="120" w:after="60"/>
        <w:jc w:val="left"/>
      </w:pPr>
      <w:r>
        <w:rPr>
          <w:rFonts w:ascii="黑体" w:hAnsi="黑体" w:eastAsia="黑体"/>
          <w:b/>
          <w:sz w:val="24"/>
        </w:rPr>
        <w:t>1.4  策略回测与优化能力</w:t>
      </w:r>
    </w:p>
    <w:p>
      <w:pPr>
        <w:spacing w:line="360" w:lineRule="auto" w:before="0" w:after="0"/>
        <w:ind w:firstLine="420"/>
        <w:jc w:val="both"/>
      </w:pPr>
      <w:r>
        <w:rPr>
          <w:rFonts w:ascii="宋体" w:hAnsi="宋体" w:eastAsia="宋体"/>
          <w:b w:val="0"/>
          <w:sz w:val="21"/>
        </w:rPr>
        <w:t>量化交易允许在任何策略投入实际资金之前，利用历史数据进行严格的回测（Backtesting）。通过回测可以评估策略在不同市场环境下的表现，计算夏普比率、最大回撤、胜率等关键绩效指标，从而在模拟环境中优化策略参数。传统手工交易则只能通过有限的实盘经验不断试错，学习成本高且风险大。以高能环境过去一年的走势为例，可以回测多种均线交叉策略、动量策略或反转策略的实际效果，选择最优方案后再投入实盘。</w:t>
      </w:r>
    </w:p>
    <w:p>
      <w:pPr>
        <w:spacing w:line="360" w:lineRule="auto" w:before="120" w:after="60"/>
        <w:jc w:val="left"/>
      </w:pPr>
      <w:r>
        <w:rPr>
          <w:rFonts w:ascii="黑体" w:hAnsi="黑体" w:eastAsia="黑体"/>
          <w:b/>
          <w:sz w:val="24"/>
        </w:rPr>
        <w:t>1.5  风险管理的精细化</w:t>
      </w:r>
    </w:p>
    <w:p>
      <w:pPr>
        <w:spacing w:line="360" w:lineRule="auto" w:before="0" w:after="0"/>
        <w:ind w:firstLine="420"/>
        <w:jc w:val="both"/>
      </w:pPr>
      <w:r>
        <w:rPr>
          <w:rFonts w:ascii="宋体" w:hAnsi="宋体" w:eastAsia="宋体"/>
          <w:b w:val="0"/>
          <w:sz w:val="21"/>
        </w:rPr>
        <w:t>量化交易系统可以预设精确的风险控制参数，包括止损点位、仓位比例、最大回撤限制、单日亏损上限等，并在触发条件时自动执行风控指令。传统手工交易在风险管理上往往依赖主观判断，容易因侥幸心理而放大亏损。以高能环境2026年4月10日的跌停（-10.03%）为例，若前一日持有仓位，量化系统可以在集合竞价阶段自动减仓或平仓，而人工操作可能因未及时关注市场而承受全部跌幅。</w:t>
      </w:r>
    </w:p>
    <w:p>
      <w:pPr>
        <w:spacing w:line="360" w:lineRule="auto" w:before="120" w:after="60"/>
        <w:jc w:val="left"/>
      </w:pPr>
      <w:r>
        <w:rPr>
          <w:rFonts w:ascii="黑体" w:hAnsi="黑体" w:eastAsia="黑体"/>
          <w:b/>
          <w:sz w:val="24"/>
        </w:rPr>
        <w:t>1.6  多市场、多策略并行运作</w:t>
      </w:r>
    </w:p>
    <w:p>
      <w:pPr>
        <w:spacing w:line="360" w:lineRule="auto" w:before="0" w:after="0"/>
        <w:ind w:firstLine="420"/>
        <w:jc w:val="both"/>
      </w:pPr>
      <w:r>
        <w:rPr>
          <w:rFonts w:ascii="宋体" w:hAnsi="宋体" w:eastAsia="宋体"/>
          <w:b w:val="0"/>
          <w:sz w:val="21"/>
        </w:rPr>
        <w:t>量化系统可以同时在多个市场、多只标的上执行不同的交易策略，实现投资组合的全局优化。人工交易者受限于注意力和精力的承载力，通常只能同时盯盘有限的标的。量化交易天然适合大规模、跨市场的组合管理，能够在不同资产间快速调仓，实现风险分散和收益最大化。</w:t>
      </w:r>
    </w:p>
    <w:p>
      <w:pPr>
        <w:spacing w:line="360" w:lineRule="auto" w:before="0" w:after="0"/>
        <w:ind w:firstLine="420"/>
        <w:jc w:val="both"/>
      </w:pPr>
      <w:r>
        <w:rPr>
          <w:rFonts w:ascii="宋体" w:hAnsi="宋体" w:eastAsia="宋体"/>
          <w:b w:val="0"/>
          <w:sz w:val="21"/>
        </w:rPr>
        <w:t>综上所述，量化交易在速度、纪律、数据处理、回测、风控和多策略并行等方面均显著优于传统手工操作。然而，量化交易也并非万能，模型的过度拟合、市场结构的变化、黑天鹅事件等因素同样可能导致策略失效。理想的方式是将量化模型的理性决策与人类的市场洞察相结合，实现人机协作的最优投资模式。</w:t>
      </w:r>
    </w:p>
    <w:p>
      <w:pPr>
        <w:spacing w:line="360" w:lineRule="auto" w:before="120" w:after="60"/>
        <w:jc w:val="left"/>
      </w:pPr>
      <w:r>
        <w:rPr>
          <w:rFonts w:ascii="黑体" w:hAnsi="黑体" w:eastAsia="黑体"/>
          <w:b/>
          <w:sz w:val="30"/>
        </w:rPr>
        <w:t>二、基本概念解释</w:t>
      </w:r>
    </w:p>
    <w:p>
      <w:pPr>
        <w:spacing w:line="360" w:lineRule="auto" w:before="120" w:after="60"/>
        <w:jc w:val="left"/>
      </w:pPr>
      <w:r>
        <w:rPr>
          <w:rFonts w:ascii="黑体" w:hAnsi="黑体" w:eastAsia="黑体"/>
          <w:b/>
          <w:sz w:val="24"/>
        </w:rPr>
        <w:t>2.1  K线（Candlestick Chart）</w:t>
      </w:r>
    </w:p>
    <w:p>
      <w:pPr>
        <w:spacing w:line="360" w:lineRule="auto" w:before="0" w:after="0"/>
        <w:ind w:firstLine="420"/>
        <w:jc w:val="both"/>
      </w:pPr>
      <w:r>
        <w:rPr>
          <w:rFonts w:ascii="宋体" w:hAnsi="宋体" w:eastAsia="宋体"/>
          <w:b w:val="0"/>
          <w:sz w:val="21"/>
        </w:rPr>
        <w:t>K线又称蜡烛图（Candlestick Chart），起源于18世纪日本的大米期货交易市场，由本间宗久（Munehisa Homma）发明，后经史蒂夫·尼森（Steve Nison）引入西方金融市场，现已成为全球最广泛使用的技术分析图表形式。</w:t>
      </w:r>
    </w:p>
    <w:p>
      <w:pPr>
        <w:spacing w:line="360" w:lineRule="auto" w:before="0" w:after="0"/>
        <w:ind w:firstLine="420"/>
        <w:jc w:val="both"/>
      </w:pPr>
      <w:r>
        <w:rPr>
          <w:rFonts w:ascii="宋体" w:hAnsi="宋体" w:eastAsia="宋体"/>
          <w:b w:val="0"/>
          <w:sz w:val="21"/>
        </w:rPr>
        <w:t>一根K线由四个核心价格组成：开盘价（Open）、收盘价（Close）、最高价（High）和最低价（Low）。当收盘价高于开盘价时，K线通常显示为红色（中国市场习惯为红色，表示上涨），称为阳线；当收盘价低于开盘价时，K线显示为绿色，称为阴线。K线的"实体"部分为开盘价与收盘价之间的区域，"影线"（或称上下引线）则连接最高价和最低价。实体长度反映多空力量对比，影线长度反映日内价格的极端偏离。</w:t>
      </w:r>
    </w:p>
    <w:p>
      <w:pPr>
        <w:spacing w:line="360" w:lineRule="auto" w:before="0" w:after="0"/>
        <w:ind w:firstLine="420"/>
        <w:jc w:val="both"/>
      </w:pPr>
      <w:r>
        <w:rPr>
          <w:rFonts w:ascii="宋体" w:hAnsi="宋体" w:eastAsia="宋体"/>
          <w:b w:val="0"/>
          <w:sz w:val="21"/>
        </w:rPr>
        <w:t>常见的K线形态包括：十字星（开盘价≈收盘价，反映多空平衡）、锤子线（长下影线，看涨信号）、吊颈线（上涨后出现长下影线，看跌预警）等。通过K线组合形态（如启明星、黄昏星、三只乌鸦等），技术分析者可以判断市场趋势的延续或反转。K线图通常配合移动平均线（MA）、布林带（BOLL）、MACD等技术指标使用，形成完整的技术分析体系。</w:t>
      </w:r>
    </w:p>
    <w:p>
      <w:pPr>
        <w:spacing w:line="360" w:lineRule="auto" w:before="120" w:after="60"/>
        <w:jc w:val="left"/>
      </w:pPr>
      <w:r>
        <w:rPr>
          <w:rFonts w:ascii="黑体" w:hAnsi="黑体" w:eastAsia="黑体"/>
          <w:b/>
          <w:sz w:val="24"/>
        </w:rPr>
        <w:t>2.2  基本面分析（Fundamental Analysis）</w:t>
      </w:r>
    </w:p>
    <w:p>
      <w:pPr>
        <w:spacing w:line="360" w:lineRule="auto" w:before="0" w:after="0"/>
        <w:ind w:firstLine="420"/>
        <w:jc w:val="both"/>
      </w:pPr>
      <w:r>
        <w:rPr>
          <w:rFonts w:ascii="宋体" w:hAnsi="宋体" w:eastAsia="宋体"/>
          <w:b w:val="0"/>
          <w:sz w:val="21"/>
        </w:rPr>
        <w:t>基本面分析是通过研究影响公司内在价值的各类经济、行业和公司层面因素，来评估股票投资价值的方法。其核心理念是：股票的市场价格最终会向其内在价值回归，因此通过基本面分析找到被低估的股票并长期持有，是价值投资的基本逻辑。</w:t>
      </w:r>
    </w:p>
    <w:p>
      <w:pPr>
        <w:spacing w:line="360" w:lineRule="auto" w:before="0" w:after="0"/>
        <w:ind w:firstLine="420"/>
        <w:jc w:val="both"/>
      </w:pPr>
      <w:r>
        <w:rPr>
          <w:rFonts w:ascii="宋体" w:hAnsi="宋体" w:eastAsia="宋体"/>
          <w:b w:val="0"/>
          <w:sz w:val="21"/>
        </w:rPr>
        <w:t>基本面分析的主要维度包括：（1）宏观经济分析——GDP增速、CPI/PPI通胀水平、货币政策（利率、存款准备金率）、财政政策、行业政策导向等；（2）行业分析——行业生命周期阶段、竞争格局（波特五力模型）、产业链地位、行业景气度等；（3）公司分析——财务报表分析（利润表、资产负债表、现金流量表）、关键财务指标（ROE、ROA、毛利率、净利率、资产负债率、经营性现金流等）、管理层能力与公司治理、核心竞争力与护城河（品牌、技术壁垒、规模效应、转换成本等）。</w:t>
      </w:r>
    </w:p>
    <w:p>
      <w:pPr>
        <w:spacing w:line="360" w:lineRule="auto" w:before="0" w:after="0"/>
        <w:ind w:firstLine="420"/>
        <w:jc w:val="both"/>
      </w:pPr>
      <w:r>
        <w:rPr>
          <w:rFonts w:ascii="宋体" w:hAnsi="宋体" w:eastAsia="宋体"/>
          <w:b w:val="0"/>
          <w:sz w:val="21"/>
        </w:rPr>
        <w:t>以高能环境为例，其主营业务涵盖固废处理、危废处置、环境修复等领域。在"双碳"目标和环保政策持续加码的背景下，环保行业具有政策驱动的成长逻辑。分析高能环境的基本面时，需重点关注其订单获取能力、项目回款周期、毛利率水平以及行业竞争格局等因素。</w:t>
      </w:r>
    </w:p>
    <w:p>
      <w:pPr>
        <w:spacing w:line="360" w:lineRule="auto" w:before="120" w:after="60"/>
        <w:jc w:val="left"/>
      </w:pPr>
      <w:r>
        <w:rPr>
          <w:rFonts w:ascii="黑体" w:hAnsi="黑体" w:eastAsia="黑体"/>
          <w:b/>
          <w:sz w:val="24"/>
        </w:rPr>
        <w:t>2.3  技术面分析（Technical Analysis）</w:t>
      </w:r>
    </w:p>
    <w:p>
      <w:pPr>
        <w:spacing w:line="360" w:lineRule="auto" w:before="0" w:after="0"/>
        <w:ind w:firstLine="420"/>
        <w:jc w:val="both"/>
      </w:pPr>
      <w:r>
        <w:rPr>
          <w:rFonts w:ascii="宋体" w:hAnsi="宋体" w:eastAsia="宋体"/>
          <w:b w:val="0"/>
          <w:sz w:val="21"/>
        </w:rPr>
        <w:t>技术面分析与基本面分析形成互补，其核心理念建立在三个前提之上：（1）市场价格已经反映了所有已知信息（市场行为包容消化一切）；（2）价格以趋势方式演变；（3）历史会重演。技术分析不关心公司"值多少钱"，而是关注价格"正在往哪个方向走"。</w:t>
      </w:r>
    </w:p>
    <w:p>
      <w:pPr>
        <w:spacing w:line="360" w:lineRule="auto" w:before="0" w:after="0"/>
        <w:ind w:firstLine="420"/>
        <w:jc w:val="both"/>
      </w:pPr>
      <w:r>
        <w:rPr>
          <w:rFonts w:ascii="宋体" w:hAnsi="宋体" w:eastAsia="宋体"/>
          <w:b w:val="0"/>
          <w:sz w:val="21"/>
        </w:rPr>
        <w:t>技术分析的主要工具体系包括：（1）趋势分析——通过趋势线、通道线判断价格的运行方向和力度；（2）形态分析——识别头肩顶/底、双重顶/底、三角形整理、旗形等经典形态；（3）指标分析——趋势类指标（移动平均线MA、MACD）、震荡类指标（RSI相对强弱指标、KDJ随机指标、CCI）、量价指标（成交量、OBV能量潮、换手率）等；（4）理论体系——道氏理论、波浪理论、江恩理论等。</w:t>
      </w:r>
    </w:p>
    <w:p>
      <w:pPr>
        <w:spacing w:line="360" w:lineRule="auto" w:before="0" w:after="0"/>
        <w:ind w:firstLine="420"/>
        <w:jc w:val="both"/>
      </w:pPr>
      <w:r>
        <w:rPr>
          <w:rFonts w:ascii="宋体" w:hAnsi="宋体" w:eastAsia="宋体"/>
          <w:b w:val="0"/>
          <w:sz w:val="21"/>
        </w:rPr>
        <w:t>在实际应用中，技术面分析通常与基本面分析相互印证。技术面更适合判断短期买卖时机，而基本面更适合判断长期价值方向。两者结合使用，能够提高投资决策的准确性和稳健性。</w:t>
      </w:r>
    </w:p>
    <w:p>
      <w:r>
        <w:br w:type="page"/>
      </w:r>
    </w:p>
    <w:p>
      <w:pPr>
        <w:spacing w:line="360" w:lineRule="auto" w:before="120" w:after="60"/>
        <w:jc w:val="left"/>
      </w:pPr>
      <w:r>
        <w:rPr>
          <w:rFonts w:ascii="黑体" w:hAnsi="黑体" w:eastAsia="黑体"/>
          <w:b/>
          <w:sz w:val="30"/>
        </w:rPr>
        <w:t>三、高能环境（603588.SH）股票分析报告</w:t>
      </w:r>
    </w:p>
    <w:p>
      <w:pPr>
        <w:spacing w:line="360" w:lineRule="auto" w:before="120" w:after="60"/>
        <w:jc w:val="left"/>
      </w:pPr>
      <w:r>
        <w:rPr>
          <w:rFonts w:ascii="黑体" w:hAnsi="黑体" w:eastAsia="黑体"/>
          <w:b/>
          <w:sz w:val="24"/>
        </w:rPr>
        <w:t>3.1  公司概况</w:t>
      </w:r>
    </w:p>
    <w:p>
      <w:pPr>
        <w:spacing w:line="360" w:lineRule="auto" w:before="0" w:after="0"/>
        <w:ind w:firstLine="420"/>
        <w:jc w:val="both"/>
      </w:pPr>
      <w:r>
        <w:rPr>
          <w:rFonts w:ascii="宋体" w:hAnsi="宋体" w:eastAsia="宋体"/>
          <w:b w:val="0"/>
          <w:sz w:val="21"/>
        </w:rPr>
        <w:t>高能环境（股票代码：603588.SH）全称"北京高能时代环境技术股份有限公司"，成立于1992年，2014年12月29日在上海证券交易所主板上市。公司主营业务涵盖固废处理、危险废物处置、环境修复、垃圾焚烧发电、水处理等环保领域，是国内固废处理和环境修复领域的龙头企业之一。</w:t>
      </w:r>
    </w:p>
    <w:p>
      <w:pPr>
        <w:spacing w:line="360" w:lineRule="auto" w:before="0" w:after="0"/>
        <w:ind w:firstLine="420"/>
        <w:jc w:val="both"/>
      </w:pPr>
      <w:r>
        <w:rPr>
          <w:rFonts w:ascii="宋体" w:hAnsi="宋体" w:eastAsia="宋体"/>
          <w:b w:val="0"/>
          <w:sz w:val="21"/>
        </w:rPr>
        <w:t>近年来，随着国家对生态环境保护和"双碳"目标的持续推动，环保行业迎来了政策红利期。高能环境在手订单充足，项目储备丰富，同时积极拓展新能源材料回收等新兴业务领域，为公司中长期发展提供了增长动力。</w:t>
      </w:r>
    </w:p>
    <w:p>
      <w:pPr>
        <w:spacing w:line="360" w:lineRule="auto" w:before="120" w:after="60"/>
        <w:jc w:val="left"/>
      </w:pPr>
      <w:r>
        <w:rPr>
          <w:rFonts w:ascii="黑体" w:hAnsi="黑体" w:eastAsia="黑体"/>
          <w:b/>
          <w:sz w:val="24"/>
        </w:rPr>
        <w:t>3.2  近一年股价走势分析</w:t>
      </w:r>
    </w:p>
    <w:p>
      <w:pPr>
        <w:spacing w:line="360" w:lineRule="auto" w:before="0" w:after="0"/>
        <w:ind w:firstLine="420"/>
        <w:jc w:val="both"/>
      </w:pPr>
      <w:r>
        <w:rPr>
          <w:rFonts w:ascii="宋体" w:hAnsi="宋体" w:eastAsia="宋体"/>
          <w:b w:val="0"/>
          <w:sz w:val="21"/>
        </w:rPr>
        <w:t>从2025年7月4日至2026年7月3日的242个交易日中，高能环境股价经历了从筑底反弹到快速拉升再到高位震荡的完整周期。期初收盘价为5.69元，期末收盘价为19.80元，区间累计涨幅达+247.98%，表现远超同期大盘指数。期间最高价为19.80元，最低价为5.69元。</w:t>
      </w:r>
    </w:p>
    <w:p>
      <w:pPr>
        <w:spacing w:line="360" w:lineRule="auto" w:before="0" w:after="0"/>
        <w:ind w:firstLine="420"/>
        <w:jc w:val="both"/>
      </w:pPr>
      <w:r>
        <w:rPr>
          <w:rFonts w:ascii="宋体" w:hAnsi="宋体" w:eastAsia="宋体"/>
          <w:b w:val="0"/>
          <w:sz w:val="21"/>
        </w:rPr>
        <w:t>具体来看，走势可分为四个阶段：</w:t>
      </w:r>
    </w:p>
    <w:p>
      <w:pPr>
        <w:spacing w:line="360" w:lineRule="auto" w:before="0" w:after="0"/>
        <w:ind w:firstLine="420"/>
        <w:jc w:val="both"/>
      </w:pPr>
      <w:r>
        <w:rPr>
          <w:rFonts w:ascii="宋体" w:hAnsi="宋体" w:eastAsia="宋体"/>
          <w:b w:val="0"/>
          <w:sz w:val="21"/>
        </w:rPr>
        <w:t>第一阶段（2025年第三季度，涨幅+24.08%）：股价在5.67-7.20元区间窄幅震荡筑底，成交量温和，市场关注度相对较低。该阶段MA20均线呈横向整理态势，显示出较为明显的底部蓄力特征。</w:t>
      </w:r>
    </w:p>
    <w:p>
      <w:pPr>
        <w:spacing w:line="360" w:lineRule="auto" w:before="0" w:after="0"/>
        <w:ind w:firstLine="420"/>
        <w:jc w:val="both"/>
      </w:pPr>
      <w:r>
        <w:rPr>
          <w:rFonts w:ascii="宋体" w:hAnsi="宋体" w:eastAsia="宋体"/>
          <w:b w:val="0"/>
          <w:sz w:val="21"/>
        </w:rPr>
        <w:t>第二阶段（2025年第四季度，涨幅-2.06%）：10月长假后迎来快速拉升行情，10月9日和10日连续大涨，成交量急剧放大。11月底出现一轮-6.03%的大幅回调，但随后企稳回升，年末收于7.62元。该阶段市场情绪明显改善，成交量逐步活跃。</w:t>
      </w:r>
    </w:p>
    <w:p>
      <w:pPr>
        <w:spacing w:line="360" w:lineRule="auto" w:before="0" w:after="0"/>
        <w:ind w:firstLine="420"/>
        <w:jc w:val="both"/>
      </w:pPr>
      <w:r>
        <w:rPr>
          <w:rFonts w:ascii="宋体" w:hAnsi="宋体" w:eastAsia="宋体"/>
          <w:b w:val="0"/>
          <w:sz w:val="21"/>
        </w:rPr>
        <w:t>第三阶段（2026年第一季度，涨幅+83.33%）：股价进入主升浪，从7.62元一路飙升至14.85元，几乎翻倍。1月8日单日涨幅9.78%，2月24日涨停9.09%，3月12日冲高至16.34元，为全年最大单波拉升。该阶段成交量持续放量，市场关注度显著提升。</w:t>
      </w:r>
    </w:p>
    <w:p>
      <w:pPr>
        <w:spacing w:line="360" w:lineRule="auto" w:before="0" w:after="0"/>
        <w:ind w:firstLine="420"/>
        <w:jc w:val="both"/>
      </w:pPr>
      <w:r>
        <w:rPr>
          <w:rFonts w:ascii="宋体" w:hAnsi="宋体" w:eastAsia="宋体"/>
          <w:b w:val="0"/>
          <w:sz w:val="21"/>
        </w:rPr>
        <w:t>第四阶段（2026年第二季度至今，涨幅+32.09%）：股价进入高位宽幅震荡阶段。4月9日触及阶段性新高18.35元后，次日即遭遇-10.03%的跌停，此后在13-20元区间大幅波动。6月下旬出现二次拉升，6月22日涨停9.99%，6月25日再涨6.00%，最终于7月3日报收19.80元。该阶段波动率显著升高，多空博弈激烈。</w:t>
      </w:r>
    </w:p>
    <w:p>
      <w:pPr>
        <w:spacing w:before="60" w:after="60"/>
        <w:jc w:val="center"/>
      </w:pPr>
      <w:r>
        <w:rPr>
          <w:rFonts w:ascii="黑体" w:hAnsi="黑体" w:eastAsia="黑体"/>
          <w:b w:val="0"/>
          <w:sz w:val="20"/>
        </w:rPr>
        <w:t>图1  高能环境（603588）日K线图及均线（前复权）</w:t>
      </w:r>
    </w:p>
    <w:p>
      <w:pPr>
        <w:spacing w:before="120" w:after="60"/>
        <w:jc w:val="center"/>
      </w:pPr>
      <w:r>
        <w:drawing>
          <wp:inline xmlns:a="http://schemas.openxmlformats.org/drawingml/2006/main" xmlns:pic="http://schemas.openxmlformats.org/drawingml/2006/picture">
            <wp:extent cx="5400000" cy="3237536"/>
            <wp:docPr id="1" name="Picture 1"/>
            <wp:cNvGraphicFramePr>
              <a:graphicFrameLocks noChangeAspect="1"/>
            </wp:cNvGraphicFramePr>
            <a:graphic>
              <a:graphicData uri="http://schemas.openxmlformats.org/drawingml/2006/picture">
                <pic:pic>
                  <pic:nvPicPr>
                    <pic:cNvPr id="0" name="chart_kline.png"/>
                    <pic:cNvPicPr/>
                  </pic:nvPicPr>
                  <pic:blipFill>
                    <a:blip r:embed="rId9"/>
                    <a:stretch>
                      <a:fillRect/>
                    </a:stretch>
                  </pic:blipFill>
                  <pic:spPr>
                    <a:xfrm>
                      <a:off x="0" y="0"/>
                      <a:ext cx="5400000" cy="3237536"/>
                    </a:xfrm>
                    <a:prstGeom prst="rect"/>
                  </pic:spPr>
                </pic:pic>
              </a:graphicData>
            </a:graphic>
          </wp:inline>
        </w:drawing>
      </w:r>
    </w:p>
    <w:p>
      <w:pPr>
        <w:spacing w:line="360" w:lineRule="auto" w:before="0" w:after="0"/>
        <w:ind w:firstLine="420"/>
        <w:jc w:val="both"/>
      </w:pPr>
      <w:r>
        <w:rPr>
          <w:rFonts w:ascii="宋体" w:hAnsi="宋体" w:eastAsia="宋体"/>
          <w:b w:val="0"/>
          <w:sz w:val="21"/>
        </w:rPr>
        <w:t>图1解读：上图完整呈现了高能环境近一年的日K线走势及MA5/MA10/MA20/MA60四条均线。可以观察到：（1）MA60（蓝色）自2026年1月起快速上翘，确认中长期上升趋势；（2）3月中旬股价短暂跌破MA10和MA20但未跌破MA60，形成典型的"回踩支撑"确认信号；（3）5月中旬股价大幅回落至MA60附近获得有效支撑后快速反弹，进一步验证MA60的中期支撑有效性。成交量在上涨阶段明显放大、回调阶段相对萎缩，符合"价升量增、价跌量缩"的健康量价关系特征。</w:t>
      </w:r>
    </w:p>
    <w:p>
      <w:pPr>
        <w:spacing w:before="60" w:after="60"/>
        <w:jc w:val="center"/>
      </w:pPr>
      <w:r>
        <w:rPr>
          <w:rFonts w:ascii="黑体" w:hAnsi="黑体" w:eastAsia="黑体"/>
          <w:b w:val="0"/>
          <w:sz w:val="20"/>
        </w:rPr>
        <w:t>图2  高能环境（603588）收盘价走势（附MA20均线）</w:t>
      </w:r>
    </w:p>
    <w:p>
      <w:pPr>
        <w:spacing w:before="120" w:after="60"/>
        <w:jc w:val="center"/>
      </w:pPr>
      <w:r>
        <w:drawing>
          <wp:inline xmlns:a="http://schemas.openxmlformats.org/drawingml/2006/main" xmlns:pic="http://schemas.openxmlformats.org/drawingml/2006/picture">
            <wp:extent cx="5400000" cy="1901153"/>
            <wp:docPr id="2" name="Picture 2"/>
            <wp:cNvGraphicFramePr>
              <a:graphicFrameLocks noChangeAspect="1"/>
            </wp:cNvGraphicFramePr>
            <a:graphic>
              <a:graphicData uri="http://schemas.openxmlformats.org/drawingml/2006/picture">
                <pic:pic>
                  <pic:nvPicPr>
                    <pic:cNvPr id="0" name="chart_close.png"/>
                    <pic:cNvPicPr/>
                  </pic:nvPicPr>
                  <pic:blipFill>
                    <a:blip r:embed="rId10"/>
                    <a:stretch>
                      <a:fillRect/>
                    </a:stretch>
                  </pic:blipFill>
                  <pic:spPr>
                    <a:xfrm>
                      <a:off x="0" y="0"/>
                      <a:ext cx="5400000" cy="1901153"/>
                    </a:xfrm>
                    <a:prstGeom prst="rect"/>
                  </pic:spPr>
                </pic:pic>
              </a:graphicData>
            </a:graphic>
          </wp:inline>
        </w:drawing>
      </w:r>
    </w:p>
    <w:p>
      <w:pPr>
        <w:spacing w:line="360" w:lineRule="auto" w:before="0" w:after="0"/>
        <w:ind w:firstLine="420"/>
        <w:jc w:val="both"/>
      </w:pPr>
      <w:r>
        <w:rPr>
          <w:rFonts w:ascii="宋体" w:hAnsi="宋体" w:eastAsia="宋体"/>
          <w:b w:val="0"/>
          <w:sz w:val="21"/>
        </w:rPr>
        <w:t>图2解读：收盘价走势图中叠加了MA20（20日均线）作为中期趋势参考。红色虚线为MA20，灰色背景色带区分了相对于期初价格的盈亏区域。从MA20的斜率变化可以清晰识别趋势的加速和减速阶段。6月下旬MA20再次加速上翘，表明短期上升动能重新增强。目前股价位于MA20上方，且均线方向向上，中期趋势偏多。</w:t>
      </w:r>
    </w:p>
    <w:p>
      <w:pPr>
        <w:spacing w:before="60" w:after="60"/>
        <w:jc w:val="center"/>
      </w:pPr>
      <w:r>
        <w:rPr>
          <w:rFonts w:ascii="黑体" w:hAnsi="黑体" w:eastAsia="黑体"/>
          <w:b w:val="0"/>
          <w:sz w:val="20"/>
        </w:rPr>
        <w:t>图3  高能环境（603588）日成交量分布</w:t>
      </w:r>
    </w:p>
    <w:p>
      <w:pPr>
        <w:spacing w:before="120" w:after="60"/>
        <w:jc w:val="center"/>
      </w:pPr>
      <w:r>
        <w:drawing>
          <wp:inline xmlns:a="http://schemas.openxmlformats.org/drawingml/2006/main" xmlns:pic="http://schemas.openxmlformats.org/drawingml/2006/picture">
            <wp:extent cx="5400000" cy="1516970"/>
            <wp:docPr id="3" name="Picture 3"/>
            <wp:cNvGraphicFramePr>
              <a:graphicFrameLocks noChangeAspect="1"/>
            </wp:cNvGraphicFramePr>
            <a:graphic>
              <a:graphicData uri="http://schemas.openxmlformats.org/drawingml/2006/picture">
                <pic:pic>
                  <pic:nvPicPr>
                    <pic:cNvPr id="0" name="chart_volume.png"/>
                    <pic:cNvPicPr/>
                  </pic:nvPicPr>
                  <pic:blipFill>
                    <a:blip r:embed="rId11"/>
                    <a:stretch>
                      <a:fillRect/>
                    </a:stretch>
                  </pic:blipFill>
                  <pic:spPr>
                    <a:xfrm>
                      <a:off x="0" y="0"/>
                      <a:ext cx="5400000" cy="1516970"/>
                    </a:xfrm>
                    <a:prstGeom prst="rect"/>
                  </pic:spPr>
                </pic:pic>
              </a:graphicData>
            </a:graphic>
          </wp:inline>
        </w:drawing>
      </w:r>
    </w:p>
    <w:p>
      <w:pPr>
        <w:spacing w:line="360" w:lineRule="auto" w:before="0" w:after="0"/>
        <w:ind w:firstLine="420"/>
        <w:jc w:val="both"/>
      </w:pPr>
      <w:r>
        <w:rPr>
          <w:rFonts w:ascii="宋体" w:hAnsi="宋体" w:eastAsia="宋体"/>
          <w:b w:val="0"/>
          <w:sz w:val="21"/>
        </w:rPr>
        <w:t>图3解读：成交量柱形图清晰地展示了市场参与度的变化。2026年4月9日单日成交量181万手（创年内最高），换手率达11.90%，而后股价回落，形成"天量见天价"的经典量价背离信号。6月下旬以来成交量再度放大，伴随股价突破前高，表明增量资金积极入场，量价配合良好，有利于行情的持续发展。</w:t>
      </w:r>
    </w:p>
    <w:p>
      <w:pPr>
        <w:spacing w:line="360" w:lineRule="auto" w:before="120" w:after="60"/>
        <w:jc w:val="left"/>
      </w:pPr>
      <w:r>
        <w:rPr>
          <w:rFonts w:ascii="黑体" w:hAnsi="黑体" w:eastAsia="黑体"/>
          <w:b/>
          <w:sz w:val="24"/>
        </w:rPr>
        <w:t>3.3  关键量化指标汇总</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fill="E0E0F0" w:val="clear"/>
          </w:tcPr>
          <w:p>
            <w:pPr>
              <w:spacing w:before="40" w:after="40"/>
              <w:jc w:val="center"/>
            </w:pPr>
            <w:r/>
            <w:r>
              <w:rPr>
                <w:rFonts w:ascii="黑体" w:hAnsi="黑体" w:eastAsia="黑体"/>
                <w:b/>
                <w:sz w:val="18"/>
              </w:rPr>
              <w:t>指标名称</w:t>
            </w:r>
          </w:p>
        </w:tc>
        <w:tc>
          <w:tcPr>
            <w:tcW w:type="dxa" w:w="3024"/>
            <w:shd w:fill="E0E0F0" w:val="clear"/>
          </w:tcPr>
          <w:p>
            <w:pPr>
              <w:spacing w:before="40" w:after="40"/>
              <w:jc w:val="center"/>
            </w:pPr>
            <w:r/>
            <w:r>
              <w:rPr>
                <w:rFonts w:ascii="黑体" w:hAnsi="黑体" w:eastAsia="黑体"/>
                <w:b/>
                <w:sz w:val="18"/>
              </w:rPr>
              <w:t>数值</w:t>
            </w:r>
          </w:p>
        </w:tc>
        <w:tc>
          <w:tcPr>
            <w:tcW w:type="dxa" w:w="3024"/>
            <w:shd w:fill="E0E0F0" w:val="clear"/>
          </w:tcPr>
          <w:p>
            <w:pPr>
              <w:spacing w:before="40" w:after="40"/>
              <w:jc w:val="center"/>
            </w:pPr>
            <w:r/>
            <w:r>
              <w:rPr>
                <w:rFonts w:ascii="黑体" w:hAnsi="黑体" w:eastAsia="黑体"/>
                <w:b/>
                <w:sz w:val="18"/>
              </w:rPr>
              <w:t>说明</w:t>
            </w:r>
          </w:p>
        </w:tc>
      </w:tr>
      <w:tr>
        <w:tc>
          <w:tcPr>
            <w:tcW w:type="dxa" w:w="3024"/>
          </w:tcPr>
          <w:p>
            <w:pPr>
              <w:spacing w:before="20" w:after="20"/>
              <w:jc w:val="center"/>
            </w:pPr>
            <w:r/>
            <w:r>
              <w:rPr>
                <w:rFonts w:ascii="宋体" w:hAnsi="宋体" w:eastAsia="宋体"/>
                <w:b w:val="0"/>
                <w:sz w:val="18"/>
              </w:rPr>
              <w:t>区间起始价</w:t>
            </w:r>
          </w:p>
        </w:tc>
        <w:tc>
          <w:tcPr>
            <w:tcW w:type="dxa" w:w="3024"/>
          </w:tcPr>
          <w:p>
            <w:pPr>
              <w:spacing w:before="20" w:after="20"/>
              <w:jc w:val="center"/>
            </w:pPr>
            <w:r/>
            <w:r>
              <w:rPr>
                <w:rFonts w:ascii="宋体" w:hAnsi="宋体" w:eastAsia="宋体"/>
                <w:b w:val="0"/>
                <w:sz w:val="18"/>
              </w:rPr>
              <w:t>5.69元</w:t>
            </w:r>
          </w:p>
        </w:tc>
        <w:tc>
          <w:tcPr>
            <w:tcW w:type="dxa" w:w="3024"/>
          </w:tcPr>
          <w:p>
            <w:pPr>
              <w:spacing w:before="20" w:after="20"/>
              <w:jc w:val="center"/>
            </w:pPr>
            <w:r/>
            <w:r>
              <w:rPr>
                <w:rFonts w:ascii="宋体" w:hAnsi="宋体" w:eastAsia="宋体"/>
                <w:b w:val="0"/>
                <w:sz w:val="18"/>
              </w:rPr>
              <w:t>2025年7月4日收盘价</w:t>
            </w:r>
          </w:p>
        </w:tc>
      </w:tr>
      <w:tr>
        <w:tc>
          <w:tcPr>
            <w:tcW w:type="dxa" w:w="3024"/>
          </w:tcPr>
          <w:p>
            <w:pPr>
              <w:spacing w:before="20" w:after="20"/>
              <w:jc w:val="center"/>
            </w:pPr>
            <w:r/>
            <w:r>
              <w:rPr>
                <w:rFonts w:ascii="宋体" w:hAnsi="宋体" w:eastAsia="宋体"/>
                <w:b w:val="0"/>
                <w:sz w:val="18"/>
              </w:rPr>
              <w:t>区间结束价</w:t>
            </w:r>
          </w:p>
        </w:tc>
        <w:tc>
          <w:tcPr>
            <w:tcW w:type="dxa" w:w="3024"/>
          </w:tcPr>
          <w:p>
            <w:pPr>
              <w:spacing w:before="20" w:after="20"/>
              <w:jc w:val="center"/>
            </w:pPr>
            <w:r/>
            <w:r>
              <w:rPr>
                <w:rFonts w:ascii="宋体" w:hAnsi="宋体" w:eastAsia="宋体"/>
                <w:b w:val="0"/>
                <w:sz w:val="18"/>
              </w:rPr>
              <w:t>19.80元</w:t>
            </w:r>
          </w:p>
        </w:tc>
        <w:tc>
          <w:tcPr>
            <w:tcW w:type="dxa" w:w="3024"/>
          </w:tcPr>
          <w:p>
            <w:pPr>
              <w:spacing w:before="20" w:after="20"/>
              <w:jc w:val="center"/>
            </w:pPr>
            <w:r/>
            <w:r>
              <w:rPr>
                <w:rFonts w:ascii="宋体" w:hAnsi="宋体" w:eastAsia="宋体"/>
                <w:b w:val="0"/>
                <w:sz w:val="18"/>
              </w:rPr>
              <w:t>2026年7月3日收盘价</w:t>
            </w:r>
          </w:p>
        </w:tc>
      </w:tr>
      <w:tr>
        <w:tc>
          <w:tcPr>
            <w:tcW w:type="dxa" w:w="3024"/>
          </w:tcPr>
          <w:p>
            <w:pPr>
              <w:spacing w:before="20" w:after="20"/>
              <w:jc w:val="center"/>
            </w:pPr>
            <w:r/>
            <w:r>
              <w:rPr>
                <w:rFonts w:ascii="宋体" w:hAnsi="宋体" w:eastAsia="宋体"/>
                <w:b w:val="0"/>
                <w:sz w:val="18"/>
              </w:rPr>
              <w:t>累计涨跌幅</w:t>
            </w:r>
          </w:p>
        </w:tc>
        <w:tc>
          <w:tcPr>
            <w:tcW w:type="dxa" w:w="3024"/>
          </w:tcPr>
          <w:p>
            <w:pPr>
              <w:spacing w:before="20" w:after="20"/>
              <w:jc w:val="center"/>
            </w:pPr>
            <w:r/>
            <w:r>
              <w:rPr>
                <w:rFonts w:ascii="宋体" w:hAnsi="宋体" w:eastAsia="宋体"/>
                <w:b w:val="0"/>
                <w:sz w:val="18"/>
              </w:rPr>
              <w:t>+247.98%</w:t>
            </w:r>
          </w:p>
        </w:tc>
        <w:tc>
          <w:tcPr>
            <w:tcW w:type="dxa" w:w="3024"/>
          </w:tcPr>
          <w:p>
            <w:pPr>
              <w:spacing w:before="20" w:after="20"/>
              <w:jc w:val="center"/>
            </w:pPr>
            <w:r/>
            <w:r>
              <w:rPr>
                <w:rFonts w:ascii="宋体" w:hAnsi="宋体" w:eastAsia="宋体"/>
                <w:b w:val="0"/>
                <w:sz w:val="18"/>
              </w:rPr>
              <w:t>区间总收益率</w:t>
            </w:r>
          </w:p>
        </w:tc>
      </w:tr>
      <w:tr>
        <w:tc>
          <w:tcPr>
            <w:tcW w:type="dxa" w:w="3024"/>
          </w:tcPr>
          <w:p>
            <w:pPr>
              <w:spacing w:before="20" w:after="20"/>
              <w:jc w:val="center"/>
            </w:pPr>
            <w:r/>
            <w:r>
              <w:rPr>
                <w:rFonts w:ascii="宋体" w:hAnsi="宋体" w:eastAsia="宋体"/>
                <w:b w:val="0"/>
                <w:sz w:val="18"/>
              </w:rPr>
              <w:t>区间最高收盘价</w:t>
            </w:r>
          </w:p>
        </w:tc>
        <w:tc>
          <w:tcPr>
            <w:tcW w:type="dxa" w:w="3024"/>
          </w:tcPr>
          <w:p>
            <w:pPr>
              <w:spacing w:before="20" w:after="20"/>
              <w:jc w:val="center"/>
            </w:pPr>
            <w:r/>
            <w:r>
              <w:rPr>
                <w:rFonts w:ascii="宋体" w:hAnsi="宋体" w:eastAsia="宋体"/>
                <w:b w:val="0"/>
                <w:sz w:val="18"/>
              </w:rPr>
              <w:t>19.80元</w:t>
            </w:r>
          </w:p>
        </w:tc>
        <w:tc>
          <w:tcPr>
            <w:tcW w:type="dxa" w:w="3024"/>
          </w:tcPr>
          <w:p>
            <w:pPr>
              <w:spacing w:before="20" w:after="20"/>
              <w:jc w:val="center"/>
            </w:pPr>
            <w:r/>
            <w:r>
              <w:rPr>
                <w:rFonts w:ascii="宋体" w:hAnsi="宋体" w:eastAsia="宋体"/>
                <w:b w:val="0"/>
                <w:sz w:val="18"/>
              </w:rPr>
              <w:t>全时段最高收盘价</w:t>
            </w:r>
          </w:p>
        </w:tc>
      </w:tr>
      <w:tr>
        <w:tc>
          <w:tcPr>
            <w:tcW w:type="dxa" w:w="3024"/>
          </w:tcPr>
          <w:p>
            <w:pPr>
              <w:spacing w:before="20" w:after="20"/>
              <w:jc w:val="center"/>
            </w:pPr>
            <w:r/>
            <w:r>
              <w:rPr>
                <w:rFonts w:ascii="宋体" w:hAnsi="宋体" w:eastAsia="宋体"/>
                <w:b w:val="0"/>
                <w:sz w:val="18"/>
              </w:rPr>
              <w:t>区间最低收盘价</w:t>
            </w:r>
          </w:p>
        </w:tc>
        <w:tc>
          <w:tcPr>
            <w:tcW w:type="dxa" w:w="3024"/>
          </w:tcPr>
          <w:p>
            <w:pPr>
              <w:spacing w:before="20" w:after="20"/>
              <w:jc w:val="center"/>
            </w:pPr>
            <w:r/>
            <w:r>
              <w:rPr>
                <w:rFonts w:ascii="宋体" w:hAnsi="宋体" w:eastAsia="宋体"/>
                <w:b w:val="0"/>
                <w:sz w:val="18"/>
              </w:rPr>
              <w:t>5.69元</w:t>
            </w:r>
          </w:p>
        </w:tc>
        <w:tc>
          <w:tcPr>
            <w:tcW w:type="dxa" w:w="3024"/>
          </w:tcPr>
          <w:p>
            <w:pPr>
              <w:spacing w:before="20" w:after="20"/>
              <w:jc w:val="center"/>
            </w:pPr>
            <w:r/>
            <w:r>
              <w:rPr>
                <w:rFonts w:ascii="宋体" w:hAnsi="宋体" w:eastAsia="宋体"/>
                <w:b w:val="0"/>
                <w:sz w:val="18"/>
              </w:rPr>
              <w:t>全时段最低收盘价</w:t>
            </w:r>
          </w:p>
        </w:tc>
      </w:tr>
      <w:tr>
        <w:tc>
          <w:tcPr>
            <w:tcW w:type="dxa" w:w="3024"/>
          </w:tcPr>
          <w:p>
            <w:pPr>
              <w:spacing w:before="20" w:after="20"/>
              <w:jc w:val="center"/>
            </w:pPr>
            <w:r/>
            <w:r>
              <w:rPr>
                <w:rFonts w:ascii="宋体" w:hAnsi="宋体" w:eastAsia="宋体"/>
                <w:b w:val="0"/>
                <w:sz w:val="18"/>
              </w:rPr>
              <w:t>日均成交量</w:t>
            </w:r>
          </w:p>
        </w:tc>
        <w:tc>
          <w:tcPr>
            <w:tcW w:type="dxa" w:w="3024"/>
          </w:tcPr>
          <w:p>
            <w:pPr>
              <w:spacing w:before="20" w:after="20"/>
              <w:jc w:val="center"/>
            </w:pPr>
            <w:r/>
            <w:r>
              <w:rPr>
                <w:rFonts w:ascii="宋体" w:hAnsi="宋体" w:eastAsia="宋体"/>
                <w:b w:val="0"/>
                <w:sz w:val="18"/>
              </w:rPr>
              <w:t>56万手</w:t>
            </w:r>
          </w:p>
        </w:tc>
        <w:tc>
          <w:tcPr>
            <w:tcW w:type="dxa" w:w="3024"/>
          </w:tcPr>
          <w:p>
            <w:pPr>
              <w:spacing w:before="20" w:after="20"/>
              <w:jc w:val="center"/>
            </w:pPr>
            <w:r/>
            <w:r>
              <w:rPr>
                <w:rFonts w:ascii="宋体" w:hAnsi="宋体" w:eastAsia="宋体"/>
                <w:b w:val="0"/>
                <w:sz w:val="18"/>
              </w:rPr>
              <w:t>242个交易日平均</w:t>
            </w:r>
          </w:p>
        </w:tc>
      </w:tr>
      <w:tr>
        <w:tc>
          <w:tcPr>
            <w:tcW w:type="dxa" w:w="3024"/>
          </w:tcPr>
          <w:p>
            <w:pPr>
              <w:spacing w:before="20" w:after="20"/>
              <w:jc w:val="center"/>
            </w:pPr>
            <w:r/>
            <w:r>
              <w:rPr>
                <w:rFonts w:ascii="宋体" w:hAnsi="宋体" w:eastAsia="宋体"/>
                <w:b w:val="0"/>
                <w:sz w:val="18"/>
              </w:rPr>
              <w:t>最大单日成交量</w:t>
            </w:r>
          </w:p>
        </w:tc>
        <w:tc>
          <w:tcPr>
            <w:tcW w:type="dxa" w:w="3024"/>
          </w:tcPr>
          <w:p>
            <w:pPr>
              <w:spacing w:before="20" w:after="20"/>
              <w:jc w:val="center"/>
            </w:pPr>
            <w:r/>
            <w:r>
              <w:rPr>
                <w:rFonts w:ascii="宋体" w:hAnsi="宋体" w:eastAsia="宋体"/>
                <w:b w:val="0"/>
                <w:sz w:val="18"/>
              </w:rPr>
              <w:t>226万手</w:t>
            </w:r>
          </w:p>
        </w:tc>
        <w:tc>
          <w:tcPr>
            <w:tcW w:type="dxa" w:w="3024"/>
          </w:tcPr>
          <w:p>
            <w:pPr>
              <w:spacing w:before="20" w:after="20"/>
              <w:jc w:val="center"/>
            </w:pPr>
            <w:r/>
            <w:r>
              <w:rPr>
                <w:rFonts w:ascii="宋体" w:hAnsi="宋体" w:eastAsia="宋体"/>
                <w:b w:val="0"/>
                <w:sz w:val="18"/>
              </w:rPr>
              <w:t>出现日期：2026-06-23</w:t>
            </w:r>
          </w:p>
        </w:tc>
      </w:tr>
      <w:tr>
        <w:tc>
          <w:tcPr>
            <w:tcW w:type="dxa" w:w="3024"/>
          </w:tcPr>
          <w:p>
            <w:pPr>
              <w:spacing w:before="20" w:after="20"/>
              <w:jc w:val="center"/>
            </w:pPr>
            <w:r/>
            <w:r>
              <w:rPr>
                <w:rFonts w:ascii="宋体" w:hAnsi="宋体" w:eastAsia="宋体"/>
                <w:b w:val="0"/>
                <w:sz w:val="18"/>
              </w:rPr>
              <w:t>平均日波动率</w:t>
            </w:r>
          </w:p>
        </w:tc>
        <w:tc>
          <w:tcPr>
            <w:tcW w:type="dxa" w:w="3024"/>
          </w:tcPr>
          <w:p>
            <w:pPr>
              <w:spacing w:before="20" w:after="20"/>
              <w:jc w:val="center"/>
            </w:pPr>
            <w:r/>
            <w:r>
              <w:rPr>
                <w:rFonts w:ascii="宋体" w:hAnsi="宋体" w:eastAsia="宋体"/>
                <w:b w:val="0"/>
                <w:sz w:val="18"/>
              </w:rPr>
              <w:t>2.24%</w:t>
            </w:r>
          </w:p>
        </w:tc>
        <w:tc>
          <w:tcPr>
            <w:tcW w:type="dxa" w:w="3024"/>
          </w:tcPr>
          <w:p>
            <w:pPr>
              <w:spacing w:before="20" w:after="20"/>
              <w:jc w:val="center"/>
            </w:pPr>
            <w:r/>
            <w:r>
              <w:rPr>
                <w:rFonts w:ascii="宋体" w:hAnsi="宋体" w:eastAsia="宋体"/>
                <w:b w:val="0"/>
                <w:sz w:val="18"/>
              </w:rPr>
              <w:t>日涨跌幅绝对值均值</w:t>
            </w:r>
          </w:p>
        </w:tc>
      </w:tr>
      <w:tr>
        <w:tc>
          <w:tcPr>
            <w:tcW w:type="dxa" w:w="3024"/>
          </w:tcPr>
          <w:p>
            <w:pPr>
              <w:spacing w:before="20" w:after="20"/>
              <w:jc w:val="center"/>
            </w:pPr>
            <w:r/>
            <w:r>
              <w:rPr>
                <w:rFonts w:ascii="宋体" w:hAnsi="宋体" w:eastAsia="宋体"/>
                <w:b w:val="0"/>
                <w:sz w:val="18"/>
              </w:rPr>
              <w:t>最大单日涨幅</w:t>
            </w:r>
          </w:p>
        </w:tc>
        <w:tc>
          <w:tcPr>
            <w:tcW w:type="dxa" w:w="3024"/>
          </w:tcPr>
          <w:p>
            <w:pPr>
              <w:spacing w:before="20" w:after="20"/>
              <w:jc w:val="center"/>
            </w:pPr>
            <w:r/>
            <w:r>
              <w:rPr>
                <w:rFonts w:ascii="宋体" w:hAnsi="宋体" w:eastAsia="宋体"/>
                <w:b w:val="0"/>
                <w:sz w:val="18"/>
              </w:rPr>
              <w:t>10.20%</w:t>
            </w:r>
          </w:p>
        </w:tc>
        <w:tc>
          <w:tcPr>
            <w:tcW w:type="dxa" w:w="3024"/>
          </w:tcPr>
          <w:p>
            <w:pPr>
              <w:spacing w:before="20" w:after="20"/>
              <w:jc w:val="center"/>
            </w:pPr>
            <w:r/>
            <w:r>
              <w:rPr>
                <w:rFonts w:ascii="宋体" w:hAnsi="宋体" w:eastAsia="宋体"/>
                <w:b w:val="0"/>
                <w:sz w:val="18"/>
              </w:rPr>
              <w:t>全时段最大单日涨幅</w:t>
            </w:r>
          </w:p>
        </w:tc>
      </w:tr>
      <w:tr>
        <w:tc>
          <w:tcPr>
            <w:tcW w:type="dxa" w:w="3024"/>
          </w:tcPr>
          <w:p>
            <w:pPr>
              <w:spacing w:before="20" w:after="20"/>
              <w:jc w:val="center"/>
            </w:pPr>
            <w:r/>
            <w:r>
              <w:rPr>
                <w:rFonts w:ascii="宋体" w:hAnsi="宋体" w:eastAsia="宋体"/>
                <w:b w:val="0"/>
                <w:sz w:val="18"/>
              </w:rPr>
              <w:t>最大单日跌幅</w:t>
            </w:r>
          </w:p>
        </w:tc>
        <w:tc>
          <w:tcPr>
            <w:tcW w:type="dxa" w:w="3024"/>
          </w:tcPr>
          <w:p>
            <w:pPr>
              <w:spacing w:before="20" w:after="20"/>
              <w:jc w:val="center"/>
            </w:pPr>
            <w:r/>
            <w:r>
              <w:rPr>
                <w:rFonts w:ascii="宋体" w:hAnsi="宋体" w:eastAsia="宋体"/>
                <w:b w:val="0"/>
                <w:sz w:val="18"/>
              </w:rPr>
              <w:t>-10.03%</w:t>
            </w:r>
          </w:p>
        </w:tc>
        <w:tc>
          <w:tcPr>
            <w:tcW w:type="dxa" w:w="3024"/>
          </w:tcPr>
          <w:p>
            <w:pPr>
              <w:spacing w:before="20" w:after="20"/>
              <w:jc w:val="center"/>
            </w:pPr>
            <w:r/>
            <w:r>
              <w:rPr>
                <w:rFonts w:ascii="宋体" w:hAnsi="宋体" w:eastAsia="宋体"/>
                <w:b w:val="0"/>
                <w:sz w:val="18"/>
              </w:rPr>
              <w:t>全时段最大单日跌幅</w:t>
            </w:r>
          </w:p>
        </w:tc>
      </w:tr>
    </w:tbl>
    <w:p>
      <w:pPr>
        <w:spacing w:before="60" w:after="60"/>
      </w:pPr>
    </w:p>
    <w:p>
      <w:pPr>
        <w:spacing w:line="360" w:lineRule="auto" w:before="120" w:after="60"/>
        <w:jc w:val="left"/>
      </w:pPr>
      <w:r>
        <w:rPr>
          <w:rFonts w:ascii="黑体" w:hAnsi="黑体" w:eastAsia="黑体"/>
          <w:b/>
          <w:sz w:val="24"/>
        </w:rPr>
        <w:t>3.4  技术面综合研判</w:t>
      </w:r>
    </w:p>
    <w:p>
      <w:pPr>
        <w:spacing w:line="360" w:lineRule="auto" w:before="0" w:after="0"/>
        <w:ind w:firstLine="420"/>
        <w:jc w:val="both"/>
      </w:pPr>
      <w:r>
        <w:rPr>
          <w:rFonts w:ascii="宋体" w:hAnsi="宋体" w:eastAsia="宋体"/>
          <w:b w:val="0"/>
          <w:sz w:val="21"/>
        </w:rPr>
        <w:t>（1）趋势判断：从MA60（60日均线）的走势来看，自2026年1月起持续向上运行，斜率保持正值，表明中长期上升趋势明确。当前股价位于所有主要均线（MA5/MA10/MA20/MA60）上方，呈现多头排列格局，短期、中期、长期趋势共振向上。</w:t>
      </w:r>
    </w:p>
    <w:p>
      <w:pPr>
        <w:spacing w:line="360" w:lineRule="auto" w:before="0" w:after="0"/>
        <w:ind w:firstLine="420"/>
        <w:jc w:val="both"/>
      </w:pPr>
      <w:r>
        <w:rPr>
          <w:rFonts w:ascii="宋体" w:hAnsi="宋体" w:eastAsia="宋体"/>
          <w:b w:val="0"/>
          <w:sz w:val="21"/>
        </w:rPr>
        <w:t>（2）支撑与阻力：短期支撑位参考MA10（约18.50元附近）和MA20（约16.66元），中期支撑位参考MA60（约15.21元）。上方心理阻力位在20元整数关口，历史高点20.70元构成显著阻力。</w:t>
      </w:r>
    </w:p>
    <w:p>
      <w:pPr>
        <w:spacing w:line="360" w:lineRule="auto" w:before="0" w:after="0"/>
        <w:ind w:firstLine="420"/>
        <w:jc w:val="both"/>
      </w:pPr>
      <w:r>
        <w:rPr>
          <w:rFonts w:ascii="宋体" w:hAnsi="宋体" w:eastAsia="宋体"/>
          <w:b w:val="0"/>
          <w:sz w:val="21"/>
        </w:rPr>
        <w:t>（3）量价关系：近一个月来呈现"放量上涨、缩量回调"的健康量价形态，6月下旬的二次拉升伴随成交量有效放大，表明资金持续流入，多方力量占优。</w:t>
      </w:r>
    </w:p>
    <w:p>
      <w:pPr>
        <w:spacing w:line="360" w:lineRule="auto" w:before="0" w:after="0"/>
        <w:ind w:firstLine="420"/>
        <w:jc w:val="both"/>
      </w:pPr>
      <w:r>
        <w:rPr>
          <w:rFonts w:ascii="宋体" w:hAnsi="宋体" w:eastAsia="宋体"/>
          <w:b w:val="0"/>
          <w:sz w:val="21"/>
        </w:rPr>
        <w:t>（4）波动性分析：第二季度以来日波动率明显加大，平均日波动率达3%以上，单日最大涨幅6.33%、最大跌幅10.03%。高波动性既是收益机会也是风险来源，不适合风险偏好较低的保守型投资者。</w:t>
      </w:r>
    </w:p>
    <w:p>
      <w:pPr>
        <w:spacing w:line="360" w:lineRule="auto" w:before="120" w:after="60"/>
        <w:jc w:val="left"/>
      </w:pPr>
      <w:r>
        <w:rPr>
          <w:rFonts w:ascii="黑体" w:hAnsi="黑体" w:eastAsia="黑体"/>
          <w:b/>
          <w:sz w:val="24"/>
        </w:rPr>
        <w:t>3.5  风险提示</w:t>
      </w:r>
    </w:p>
    <w:p>
      <w:pPr>
        <w:spacing w:line="360" w:lineRule="auto" w:before="0" w:after="0"/>
        <w:ind w:firstLine="420"/>
        <w:jc w:val="both"/>
      </w:pPr>
      <w:r>
        <w:rPr>
          <w:rFonts w:ascii="宋体" w:hAnsi="宋体" w:eastAsia="宋体"/>
          <w:b w:val="0"/>
          <w:sz w:val="21"/>
        </w:rPr>
        <w:t>（1）高估值风险：近一年股价涨幅接近250%，短期内积累了较大的获利盘。若基本面改善不及预期，存在较大的获利回吐压力。</w:t>
      </w:r>
    </w:p>
    <w:p>
      <w:pPr>
        <w:spacing w:line="360" w:lineRule="auto" w:before="0" w:after="0"/>
        <w:ind w:firstLine="420"/>
        <w:jc w:val="both"/>
      </w:pPr>
      <w:r>
        <w:rPr>
          <w:rFonts w:ascii="宋体" w:hAnsi="宋体" w:eastAsia="宋体"/>
          <w:b w:val="0"/>
          <w:sz w:val="21"/>
        </w:rPr>
        <w:t>（2）行业政策风险：环保行业受政策影响较大，补贴政策变化、环保标准调整等因素都可能对公司的营收和利润产生影响。</w:t>
      </w:r>
    </w:p>
    <w:p>
      <w:pPr>
        <w:spacing w:line="360" w:lineRule="auto" w:before="0" w:after="0"/>
        <w:ind w:firstLine="420"/>
        <w:jc w:val="both"/>
      </w:pPr>
      <w:r>
        <w:rPr>
          <w:rFonts w:ascii="宋体" w:hAnsi="宋体" w:eastAsia="宋体"/>
          <w:b w:val="0"/>
          <w:sz w:val="21"/>
        </w:rPr>
        <w:t>（3）流动性风险：高位震荡阶段换手率虽然较高，但若出现系统性风险事件，小盘股可能面临流动性快速枯竭的风险。</w:t>
      </w:r>
    </w:p>
    <w:p>
      <w:pPr>
        <w:spacing w:line="360" w:lineRule="auto" w:before="0" w:after="0"/>
        <w:ind w:firstLine="420"/>
        <w:jc w:val="both"/>
      </w:pPr>
      <w:r>
        <w:rPr>
          <w:rFonts w:ascii="宋体" w:hAnsi="宋体" w:eastAsia="宋体"/>
          <w:b w:val="0"/>
          <w:sz w:val="21"/>
        </w:rPr>
        <w:t>（4）市场情绪风险：当前股价处于历史高位区域，市场情绪极度敏感。任何负面消息或获利盘集中涌出都可能引发剧烈调整。</w:t>
      </w:r>
    </w:p>
    <w:p>
      <w:pPr>
        <w:spacing w:line="360" w:lineRule="auto" w:before="0" w:after="0"/>
        <w:ind w:firstLine="420"/>
        <w:jc w:val="both"/>
      </w:pPr>
      <w:r>
        <w:rPr>
          <w:rFonts w:ascii="宋体" w:hAnsi="宋体" w:eastAsia="宋体"/>
          <w:b w:val="0"/>
          <w:sz w:val="21"/>
        </w:rPr>
        <w:t>（5）业绩验证风险：高涨幅需要高增长的业绩来支撑，若后续财报披露的营收或利润不及市场预期，将对股价形成较大压力。</w:t>
      </w:r>
    </w:p>
    <w:p>
      <w:pPr>
        <w:spacing w:line="360" w:lineRule="auto" w:before="120" w:after="60"/>
        <w:jc w:val="left"/>
      </w:pPr>
      <w:r>
        <w:rPr>
          <w:rFonts w:ascii="黑体" w:hAnsi="黑体" w:eastAsia="黑体"/>
          <w:b/>
          <w:sz w:val="24"/>
        </w:rPr>
        <w:t>3.6  总结与建议</w:t>
      </w:r>
    </w:p>
    <w:p>
      <w:pPr>
        <w:spacing w:line="360" w:lineRule="auto" w:before="0" w:after="0"/>
        <w:ind w:firstLine="420"/>
        <w:jc w:val="both"/>
      </w:pPr>
      <w:r>
        <w:rPr>
          <w:rFonts w:ascii="宋体" w:hAnsi="宋体" w:eastAsia="宋体"/>
          <w:b w:val="0"/>
          <w:sz w:val="21"/>
        </w:rPr>
        <w:t>高能环境在过去一年中表现卓越，股价从5.69元上涨至19.80元，累计涨幅+247.98%。技术面上呈现多头排列格局，均线系统共振向上，量价关系健康。但考虑到涨幅已大、波动率抬升以及高位博弈风险，建议投资者在参与时注意以下几点：</w:t>
      </w:r>
    </w:p>
    <w:p>
      <w:pPr>
        <w:spacing w:line="360" w:lineRule="auto" w:before="0" w:after="0"/>
        <w:ind w:firstLine="420"/>
        <w:jc w:val="both"/>
      </w:pPr>
      <w:r>
        <w:rPr>
          <w:rFonts w:ascii="宋体" w:hAnsi="宋体" w:eastAsia="宋体"/>
          <w:b w:val="0"/>
          <w:sz w:val="21"/>
        </w:rPr>
        <w:t>（1）仓位管理：鉴于当前股价位于历史高位区域且波动加大，建议控制总仓位比例，不宜重仓追高。</w:t>
      </w:r>
    </w:p>
    <w:p>
      <w:pPr>
        <w:spacing w:line="360" w:lineRule="auto" w:before="0" w:after="0"/>
        <w:ind w:firstLine="420"/>
        <w:jc w:val="both"/>
      </w:pPr>
      <w:r>
        <w:rPr>
          <w:rFonts w:ascii="宋体" w:hAnsi="宋体" w:eastAsia="宋体"/>
          <w:b w:val="0"/>
          <w:sz w:val="21"/>
        </w:rPr>
        <w:t>（2）严格止损：建议设置明确的止损位（例如跌破MA20或MA60），一旦触发应果断执行，避免深度套牢。</w:t>
      </w:r>
    </w:p>
    <w:p>
      <w:pPr>
        <w:spacing w:line="360" w:lineRule="auto" w:before="0" w:after="0"/>
        <w:ind w:firstLine="420"/>
        <w:jc w:val="both"/>
      </w:pPr>
      <w:r>
        <w:rPr>
          <w:rFonts w:ascii="宋体" w:hAnsi="宋体" w:eastAsia="宋体"/>
          <w:b w:val="0"/>
          <w:sz w:val="21"/>
        </w:rPr>
        <w:t>（3）关注基本面：密切关注公司后续财报数据和订单进展，验证业绩增长是否能支撑当前估值。</w:t>
      </w:r>
    </w:p>
    <w:p>
      <w:pPr>
        <w:spacing w:line="360" w:lineRule="auto" w:before="0" w:after="0"/>
        <w:ind w:firstLine="420"/>
        <w:jc w:val="both"/>
      </w:pPr>
      <w:r>
        <w:rPr>
          <w:rFonts w:ascii="宋体" w:hAnsi="宋体" w:eastAsia="宋体"/>
          <w:b w:val="0"/>
          <w:sz w:val="21"/>
        </w:rPr>
        <w:t>（4）分散投资：不建议将资金集中配置于单只个股，应考虑投资组合的多元化配置以分散风险。</w:t>
      </w:r>
    </w:p>
    <w:p>
      <w:pPr>
        <w:spacing w:line="360" w:lineRule="auto" w:before="0" w:after="0"/>
        <w:ind w:firstLine="420"/>
        <w:jc w:val="both"/>
      </w:pPr>
      <w:r>
        <w:rPr>
          <w:rFonts w:ascii="宋体" w:hAnsi="宋体" w:eastAsia="宋体"/>
          <w:b w:val="0"/>
          <w:sz w:val="21"/>
        </w:rPr>
        <w:t>声明：以上分析基于公开市场数据和量化指标，仅为技术层面的客观分析，不构成任何买卖建议。投资者应根据自身风险承受能力和投资目标，审慎做出投资决策。</w:t>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