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60"/>
        <w:jc w:val="center"/>
      </w:pPr>
      <w:r>
        <w:rPr>
          <w:rFonts w:ascii="黑体" w:hAnsi="黑体" w:eastAsia="黑体"/>
          <w:b/>
          <w:sz w:val="44"/>
        </w:rPr>
        <w:t>高能环境（603588.SH）</w:t>
      </w:r>
    </w:p>
    <w:p>
      <w:pPr>
        <w:spacing w:line="360" w:lineRule="auto" w:before="0" w:after="60"/>
        <w:jc w:val="center"/>
      </w:pPr>
      <w:r>
        <w:rPr>
          <w:rFonts w:ascii="黑体" w:hAnsi="黑体" w:eastAsia="黑体"/>
          <w:b/>
          <w:sz w:val="44"/>
        </w:rPr>
        <w:t>技术指标分析报告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4"/>
        </w:rPr>
        <w:t>数据区间：2025-07-04 至 2026-07-03（共242个交易日）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4"/>
        </w:rPr>
        <w:t>报告生成日期：2026-07-04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1"/>
        </w:rPr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2"/>
        </w:rPr>
        <w:t>本报告基于 TASK2 要求编制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2"/>
        </w:rPr>
        <w:t>涵盖数据诊断、RSI/MACD/布林带/KDJ四大技术指标分析</w:t>
      </w:r>
    </w:p>
    <w:p>
      <w:r>
        <w:br w:type="page"/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30"/>
        </w:rPr>
        <w:t>一、数据基础诊断分析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1.1  数据概览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报告使用的数据来源于高能环境（603588.SH）近一年的日K线交易数据，共计242个交易日，时间跨度为2025-07-04至2026-07-03。数据包含开盘价（open）、收盘价（close）、最高价（high）、最低价（low）、成交量（volume）、成交额（amount）、涨跌幅（pct_chg）和换手率（turnover）共8个核心字段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1.2  缺失值检查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对全量数据的8个核心字段进行逐项缺失值检查，结果如下：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D9E2F3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字段名称</w:t>
            </w:r>
          </w:p>
        </w:tc>
        <w:tc>
          <w:tcPr>
            <w:tcW w:type="dxa" w:w="2771"/>
            <w:shd w:fill="D9E2F3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缺失数量</w:t>
            </w:r>
          </w:p>
        </w:tc>
        <w:tc>
          <w:tcPr>
            <w:tcW w:type="dxa" w:w="2771"/>
            <w:shd w:fill="D9E2F3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状态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open</w:t>
            </w:r>
          </w:p>
        </w:tc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✓ 完整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close</w:t>
            </w:r>
          </w:p>
        </w:tc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✓ 完整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high</w:t>
            </w:r>
          </w:p>
        </w:tc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✓ 完整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low</w:t>
            </w:r>
          </w:p>
        </w:tc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✓ 完整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volume</w:t>
            </w:r>
          </w:p>
        </w:tc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✓ 完整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amount</w:t>
            </w:r>
          </w:p>
        </w:tc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✓ 完整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pct_chg</w:t>
            </w:r>
          </w:p>
        </w:tc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✓ 完整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turnover</w:t>
            </w:r>
          </w:p>
        </w:tc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2771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✓ 完整</w:t>
            </w:r>
          </w:p>
        </w:tc>
      </w:tr>
    </w:tbl>
    <w:p/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经检查，所有字段均无缺失值，数据完整性良好，可以用于后续分析。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1.3  描述性统计分析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对各核心字段进行描述性统计分析，计算均值、标准差、最小值、四分位数、最大值等统计量，结果如下表所示：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fill="D9E2F3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字段</w:t>
            </w:r>
          </w:p>
        </w:tc>
        <w:tc>
          <w:tcPr>
            <w:tcW w:type="dxa" w:w="1039"/>
            <w:shd w:fill="D9E2F3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均值</w:t>
            </w:r>
          </w:p>
        </w:tc>
        <w:tc>
          <w:tcPr>
            <w:tcW w:type="dxa" w:w="1039"/>
            <w:shd w:fill="D9E2F3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标准差</w:t>
            </w:r>
          </w:p>
        </w:tc>
        <w:tc>
          <w:tcPr>
            <w:tcW w:type="dxa" w:w="1039"/>
            <w:shd w:fill="D9E2F3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最小值</w:t>
            </w:r>
          </w:p>
        </w:tc>
        <w:tc>
          <w:tcPr>
            <w:tcW w:type="dxa" w:w="1039"/>
            <w:shd w:fill="D9E2F3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25%分位</w:t>
            </w:r>
          </w:p>
        </w:tc>
        <w:tc>
          <w:tcPr>
            <w:tcW w:type="dxa" w:w="1039"/>
            <w:shd w:fill="D9E2F3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中位数</w:t>
            </w:r>
          </w:p>
        </w:tc>
        <w:tc>
          <w:tcPr>
            <w:tcW w:type="dxa" w:w="1039"/>
            <w:shd w:fill="D9E2F3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75%分位</w:t>
            </w:r>
          </w:p>
        </w:tc>
        <w:tc>
          <w:tcPr>
            <w:tcW w:type="dxa" w:w="1039"/>
            <w:shd w:fill="D9E2F3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最大值</w:t>
            </w:r>
          </w:p>
        </w:tc>
      </w:tr>
      <w:tr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开盘价(元)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10.06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3.85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5.68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6.82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8.03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13.64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19.60</w:t>
            </w:r>
          </w:p>
        </w:tc>
      </w:tr>
      <w:tr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收盘价(元)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10.11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3.90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5.69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6.87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8.14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13.75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19.80</w:t>
            </w:r>
          </w:p>
        </w:tc>
      </w:tr>
      <w:tr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最高价(元)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10.33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4.05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5.75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6.96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8.28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14.29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20.70</w:t>
            </w:r>
          </w:p>
        </w:tc>
      </w:tr>
      <w:tr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最低价(元)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9.86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3.71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5.67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6.70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7.89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13.21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19.20</w:t>
            </w:r>
          </w:p>
        </w:tc>
      </w:tr>
      <w:tr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成交量(手)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56万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34万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16万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31万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44万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72万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226万</w:t>
            </w:r>
          </w:p>
        </w:tc>
      </w:tr>
      <w:tr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成交额(元)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6.59亿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6.29亿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1.06亿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2.31亿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3.86亿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9.18亿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42.57亿</w:t>
            </w:r>
          </w:p>
        </w:tc>
      </w:tr>
      <w:tr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涨跌幅(%)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0.56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3.08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-10.03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-1.06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0.30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2.03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10.20</w:t>
            </w:r>
          </w:p>
        </w:tc>
      </w:tr>
      <w:tr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换手率(%)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3.67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2.21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1.06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2.04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2.90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4.74</w:t>
            </w:r>
          </w:p>
        </w:tc>
        <w:tc>
          <w:tcPr>
            <w:tcW w:type="dxa" w:w="1039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14.86</w:t>
            </w:r>
          </w:p>
        </w:tc>
      </w:tr>
    </w:tbl>
    <w:p/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从描述性统计来看，收盘价均值为10.11元，中位数为8.14元，均值略高于中位数，表明数据呈现轻微右偏分布，即存在部分较高的价格拉高了平均值。标准差为3.90元，波动幅度较大。涨跌幅均值为0.56%，中位数为0.30%，整体呈微幅上涨态势。</w:t>
      </w:r>
    </w:p>
    <w:p>
      <w:r>
        <w:br w:type="page"/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30"/>
        </w:rPr>
        <w:t>二、技术指标基础介绍与计算方法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2.1  RSI（相对强弱指标）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RSI（Relative Strength Index，相对强弱指标）是由J. Welles Wilder Jr.于1978年在《New Concepts in Technical Trading Systems》一书中提出的动量振荡指标。RSI通过比较一定时期内价格上涨与下跌的幅度，衡量价格运动的内在强度，用于判断市场是否处于超买或超卖状态。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计算方法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RSI的计算基于一定周期（通常使用14日）内的价格变动。具体步骤如下：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（1）计算每日的价格变动 ΔP = 当日收盘价 - 前一日收盘价。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（2）将涨幅（ΔP &gt; 0）和跌幅（|ΔP|, ΔP &lt; 0）分别求和，得到该周期内的平均涨幅（AvgGain）和平均跌幅（AvgLoss）。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（3）计算相对强弱值 RS = AvgGain / AvgLoss。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（4）计算 RSI = 100 - 100 / (1 + RS)。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Wilder提出使用平滑移动平均（Smoothed Moving Average）方法递推计算，使其能够平滑反映价格变化趋势，而非简单移动平均。具体公式为：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初始 AvgGain = 前N日涨幅的简单平均；之后逐日递推：AvgGain_t = (AvgGain_{t-1} × (N-1) + 当日涨幅) / N。AvgLoss同理。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作用与判读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RSI取值在0~100之间，传统判读标准为：RSI &gt; 70 为超买区域，可能面临回调压力；RSI &lt; 30 为超卖区域，可能出现技术反弹。50为中轴，RSI上穿50为偏多信号，下穿50为偏空信号。此外，RSI的背离信号（价格创新高而RSI未创新高，或反之）是重要的趋势反转预警信号。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2.2  MACD（指数平滑异同移动平均线）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MACD（Moving Average Convergence Divergence，指数平滑异同移动平均线）是由Gerald Appel于20世纪70年代提出的趋势跟踪动量指标。MACD通过分析两条不同周期指数移动平均线（EMA）之间的聚合与分离关系，揭示价格趋势的方向、强度和转变时机，是应用最广泛的技术指标之一。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计算方法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MACD由三个组件构成，标准参数为（12, 26, 9）：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（1）DIF（快线）：12日EMA与26日EMA的差值，DIF = EMA(12) - EMA(26)。EMA的计算公式为：EMA_t = Price_t × k + EMA_{t-1} × (1 - k)，其中平滑系数 k = 2/(N+1)。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（2）DEA（慢线，又称Signal线）：DIF的9日EMA，DEA = EMA(DIF, 9)。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（3）MACD柱（Histogram）：MACD = 2 × (DIF - DEA)。乘2是为了放大柱状图的视觉效果，便于观察。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作用与判读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MACD的核心交易信号包括：（1）金叉——DIF上穿DEA，是看涨买入信号；（2）死叉——DIF下穿DEA，是看跌卖出信号；（3）零轴穿越——DIF/DEA在零轴上方为多头市场，下方为空头市场；（4）顶背离——价格创新高而MACD未创新高，暗示上涨动能衰竭；（5）底背离——价格创新低而MACD未创新低，暗示下跌动能减弱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2.3  布林带（Bollinger Bands）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布林带（Bollinger Bands）是由John Bollinger于20世纪80年代提出的波动率指标，由三条轨道线组成。其核心思想是：价格围绕移动平均线在一定的标准差范围内波动，标准差反映了市场的波动程度。布林带的宽度会随着波动率的变化自动扩张和收缩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计算方法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布林带的三条轨道线分别计算如下（标准参数：N=20, k=2）：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（1）中轨（Middle Band）：N日简单移动平均，MB = MA(N) = ΣClose_i / N。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（2）上轨（Upper Band）：中轨加k倍标准差，UB = MB + k × σ，其中σ为N日收盘价的标准差。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（3）下轨（Lower Band）：中轨减k倍标准差，LB = MB - k × σ。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标准差 σ = sqrt(Σ(Close_i - MA)^2 / (N-1))，使用样本标准差。参数k通常取2，在正态分布假设下，约95%的价格数据应落在上下轨之间。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作用与判读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布林带的主要应用方式有：（1）轨道收缩（Squeeze）——布林带收窄时表示波动率降低，通常预示着大行情的酝酿，是趋势启动的前兆；（2）轨道扩张——布林带变宽表明波动率上升，价格趋势强化；（3）价格触及上轨——可能处于短期超买状态，但强势行情中价格可能沿上轨运行；（4）价格触及下轨——可能处于短期超卖状态；（5）中轨方向——中轨向上是多头趋势，向下是空头趋势。</w:t>
      </w:r>
    </w:p>
    <w:p>
      <w:r>
        <w:br w:type="page"/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30"/>
        </w:rPr>
        <w:t>三、指标计算实现与可视化分析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本部分通过Python编程实现RSI、MACD和布林带三个技术指标的计算，并生成对应的可视化图形。代码使用numpy进行数值计算，matplotlib进行图表绘制。所有指标均基于高能环境近一年日K线数据的收盘价序列进行计算。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3.1  布林带（Bollinger Bands）分析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采用标准参数（N=20, k=2）计算布林带。从图1可以观察到：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（1）布林带在2025年7月至9月期间明显收窄（Squeeze），价格在窄幅区间内整理，波动率处于低位，这是典型的整理蓄势形态。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（2）2025年10月起，布林带开始扩张，价格沿上轨运行，确认上升趋势启动。11月底价格快速回落下穿中轨但未跌破下轨，是一次强势调整。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（3）2026年3月至4月期间，布林带再次大幅扩张，价格一度触及上轨后快速回调，振幅显著放大。4月9日和4月10日的剧烈下跌使价格短暂跌破中轨。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（4）近期（2026-07-03附近），价格位于中轨与上轨之间运行，中轨方向向上，表明中期趋势仍偏多，但需关注价格与上轨的距离以防范短期回调风险。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0"/>
        </w:rPr>
        <w:t>图1  高能环境（603588）布林带指标 (BOLL, N=20, k=2)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93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o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93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3.2  RSI（相对强弱指标）分析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采用14日周期计算RSI，并叠加70超买线和30超卖线形成完整判读框架：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在242个交易日中，RSI进入超买区域（&gt;70）的交易天数为62天，进入超卖区域（&lt;30）的交易天数为0天。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（1）2025年Q3期间RSI主要在30-60区间波动，市场情绪偏中性，与价格底部整理的特征吻合。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（2）2025年Q4价格上涨过程中，RSI多次触及70上方的超买区域，表明上升动能强劲。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（3）2026年Q1主升浪期间RSI持续在50-70区间运行，偶有突破70，属于强势行情中的正常表现。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（4）当前RSI值处于50附近的中性偏强位置，既未超买也未超卖，市场情绪相对平衡。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0"/>
        </w:rPr>
        <w:t>图2  高能环境（603588）相对强弱指标 (RSI, N=14)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16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s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16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3.3  MACD指标分析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采用标准参数（12, 26, 9）计算MACD，包含DIF快线、DEA慢线和MACD柱状图三个组件：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（1）2025年7月至9月，DIF和DEA在零轴附近反复缠绕，MACD柱缩短，价格处于震荡筑底阶段。2025年9月底出现金叉信号，此后行情启动。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（2）2025年10月至2026年2月，DIF/DEA持续运行在零轴上方，MACD柱多为正值，确认多头趋势。2025年11月底出现短暂死叉，但很快再次金叉。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（3）2026年3月，DIF和DEA快速拉升远离零轴，MACD柱显著放大，价格进入加速上涨阶段。4月中旬DIF下穿DEA形成死叉，随后高位回落调整。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（4）当前DIF和DEA在零轴上方运行，方向小幅向上，MACD柱由绿转红，偏多信号。但仍需关注若后续DIF下穿DEA形成死叉可能带来的调整风险。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0"/>
        </w:rPr>
        <w:t>图3  高能环境（603588）MACD指标 (12, 26, 9)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520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52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30"/>
        </w:rPr>
        <w:t>四、扩展指标：KDJ随机指标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4.1  KDJ指标介绍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除了上述RSI、MACD和布林带三大经典指标外，技术分析领域还存在众多有价值的辅助指标，如KDJ、CCI（商品通道指数）、OBV（能量潮）、WR（威廉指标）、ATR（平均真实波幅）、BIAS（乖离率）等。本报告选取KDJ随机指标作为扩展分析对象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KDJ随机指标（Stochastic Oscillator）由George Lane于20世纪50年代提出，是一种衡量价格在特定时期内相对位置（即收盘价在高低价区间中的位置）的动量指标。KDJ由K线、D线和J线三条曲线组成，通过分析价格的超买超卖状态以及K/D线的交叉关系来判断买卖时机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KDJ适合在震荡行情中使用，能够有效捕捉价格的短期转折点，是A股市场最常用的短期交易参考指标之一。其核心理念是：在上涨趋势中，收盘价倾向于接近区间高点；在下跌趋势中，收盘价倾向于接近区间低点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4.2  计算方法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KDJ基于RSV（Raw Stochastic Value，未成熟随机值）递推计算，标准参数为（N=9, K=3, D=3）。计算步骤如下：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（1）计算RSV：RSV = (C_t - L_n) / (H_n - L_n) × 100，其中C_t为当日收盘价，L_n和H_n分别为N日内的最低价和最高价。RSV反映收盘价在N日价格区间中的相对位置。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（2）计算K值：K_t = (K_{t-1} × (K_p - 1) + RSV_t) / K_p，其中K_p=3，初始K值取50。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（3）计算D值：D_t = (D_{t-1} × (D_p - 1) + K_t) / D_p，其中D_p=3，初始D值取50。D线是K线的平滑线。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（4）计算J值：J = 3K - 2D，J值是对K值与D值偏离程度的放大，更加敏感。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4.3  作用与判读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（1）超买超卖：K/D值 &gt; 80 为超买区域，可能回调；K/D值 &lt; 20 为超卖区域，可能反弹。J值 &gt; 100 为严重超买，J值 &lt; 0 为严重超卖。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（2）金叉与死叉：K线上穿D线为"金叉"，看涨信号；K线下穿D线为"死叉"，看跌信号。在超卖区（20以下）的金叉更为可靠，在超买区（80以上）的死叉可信度更高。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（3）背离：价格创新高而KDJ未创新高（顶背离），可能见顶；价格创新低而KDJ未创新低（底背离），可能见底。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4.4  KDJ可视化分析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从图4的KDJ走势来看：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（1）2025年Q3期间多次出现K/D在20以下的金叉，之后价格均出现阶段性反弹，验证了KDJ在超卖区域金叉的可靠性。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（2）2025年10月至11月的快速拉升过程中，KDJ持续在高位运行，J值多次突破100，表明市场短期热度极高，但也提示了回调风险。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（3）2026年3月下旬KDJ出现高位死叉，与MACD死叉信号相互印证，增强了趋势转折的可靠性。近期KDJ在中轴附近震荡，方向尚不明确。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截至2026-07-03，K值约75.6，D值约81.3，J值约64.1，KDJ三线在50中轴附近运行，未发出明确的超买或超卖信号，建议结合其他指标综合判断。</w:t>
      </w:r>
    </w:p>
    <w:p>
      <w:pPr>
        <w:spacing w:before="120" w:after="60"/>
        <w:jc w:val="center"/>
      </w:pPr>
      <w:r>
        <w:rPr>
          <w:rFonts w:ascii="黑体" w:hAnsi="黑体" w:eastAsia="黑体"/>
          <w:b/>
          <w:sz w:val="20"/>
        </w:rPr>
        <w:t>图4  高能环境（603588）KDJ随机指标 (N=9, K=3, D=3)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1905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kdj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05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30"/>
        </w:rPr>
        <w:t>五、综合总结与技术研判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5.1  四大指标综合研判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综合RSI、MACD、布林带和KDJ四大技术指标的分析结果，对高能环境当前的技术状态做如下总结：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（1）布林带：中轨方向向上，价格在中轨与上轨之间运行，中期趋势偏多。布林带宽度适中，未出现极度收窄或扩张，市场波动率处于正常区间。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（2）RSI：当前位于50附近的中间区域，既未超买也未超卖，市场情绪偏中性。从历史来看，该位置通常是多空博弈的平衡区域，方向选择的概率相当。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（3）MACD：DIF和DEA位于零轴上方，MACD柱由绿转红，偏多信号。但需警惕若后续DIF下穿DEA形成死叉可能带来的调整压力。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（4）KDJ：三线在50中轴附近交织，J值未出现极端读数，短期方向不明确。KDJ适合捕捉短期波动机会，建议在超卖区域金叉时考虑短线入场。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总体上，四大指标呈现中性偏多的技术格局：中期趋势向上，短期多空力量相对均衡，尚未出现明确的超买或超卖极端信号。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5.2  数据诊断结论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本次分析使用的242条日K线数据完整性良好，无缺失值。收盘价均值为10.11元，标准差为3.90元，价格波动幅度较大但数据质量可靠。涨跌幅呈现轻微右偏分布，上涨天数略多于下跌天数。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5.3  其他值得关注的典型指标简介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除本报告重点分析的RSI、MACD、布林带和KDJ外，以下指标在实际交易中也具有重要参考价值：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（1）CCI（Commodity Channel Index，商品通道指数）：衡量价格偏离统计均值的程度，±100为关键阈值，突破+100为强势信号，跌破-100为弱势信号。CCI不受0-100范围限制，对极端行情的识别更为灵敏。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（2）OBV（On-Balance Volume，能量潮）：通过累计成交量验证价格趋势，量价同步上升为可靠信号。OBV的背离是重要的趋势反转预警信号。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（3）ATR（Average True Range，平均真实波幅）：衡量市场波动率而非方向，常用于设置止损位和计算头寸规模。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（4）BIAS（乖离率）：衡量价格偏离移动平均线的百分比，用于判断超买超卖和均值回归机会。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（5）WR（Williams %R，威廉指标）：与KDJ类似但方向相反，-80以下为超卖，-20以上为超买。</w:t>
      </w:r>
    </w:p>
    <w:p>
      <w:pPr>
        <w:spacing w:line="360" w:lineRule="auto" w:before="120" w:after="60"/>
      </w:pPr>
      <w:r>
        <w:rPr>
          <w:rFonts w:ascii="黑体" w:hAnsi="黑体" w:eastAsia="黑体"/>
          <w:b/>
          <w:sz w:val="24"/>
        </w:rPr>
        <w:t>5.4  免责声明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</w:rPr>
        <w:t>本报告仅基于公开市场数据和公开技术指标公式进行计算和分析，所有内容仅供学术研究和技术学习参考，不构成任何形式的投资建议。技术指标分析存在固有的滞后性和局限性，过往的历史规律不能保证未来的市场表现。在实际投资决策中，投资者应综合考虑宏观经济、行业基本面、公司财务状况等多维度因素，并根据自身的风险承受能力和投资目标审慎决策。股市有风险，投资需谨慎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