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47DDB">
      <w:pPr>
        <w:tabs>
          <w:tab w:val="left" w:pos="780"/>
        </w:tabs>
        <w:spacing w:line="240" w:lineRule="auto"/>
        <w:ind w:firstLine="1201" w:firstLineChars="600"/>
        <w:rPr>
          <w:rFonts w:ascii="微软雅黑" w:hAnsi="微软雅黑" w:eastAsia="微软雅黑" w:cs="微软雅黑"/>
          <w:b/>
          <w:sz w:val="20"/>
          <w:szCs w:val="20"/>
        </w:rPr>
      </w:pPr>
    </w:p>
    <w:p w14:paraId="0DDFBD82">
      <w:pPr>
        <w:tabs>
          <w:tab w:val="left" w:pos="780"/>
        </w:tabs>
        <w:spacing w:line="240" w:lineRule="auto"/>
        <w:ind w:firstLine="1201" w:firstLineChars="600"/>
        <w:rPr>
          <w:rFonts w:ascii="微软雅黑" w:hAnsi="微软雅黑" w:eastAsia="微软雅黑" w:cs="微软雅黑"/>
          <w:b/>
          <w:sz w:val="20"/>
          <w:szCs w:val="20"/>
        </w:rPr>
      </w:pPr>
    </w:p>
    <w:p w14:paraId="75747996">
      <w:pPr>
        <w:tabs>
          <w:tab w:val="left" w:pos="780"/>
        </w:tabs>
        <w:spacing w:line="240" w:lineRule="auto"/>
        <w:ind w:firstLine="1201" w:firstLineChars="600"/>
        <w:rPr>
          <w:rFonts w:ascii="微软雅黑" w:hAnsi="微软雅黑" w:eastAsia="微软雅黑" w:cs="微软雅黑"/>
          <w:b/>
          <w:sz w:val="20"/>
          <w:szCs w:val="20"/>
        </w:rPr>
      </w:pPr>
    </w:p>
    <w:p w14:paraId="5EF76E52">
      <w:pPr>
        <w:tabs>
          <w:tab w:val="left" w:pos="780"/>
        </w:tabs>
        <w:spacing w:line="240" w:lineRule="auto"/>
        <w:ind w:firstLine="1201" w:firstLineChars="600"/>
        <w:rPr>
          <w:rFonts w:ascii="微软雅黑" w:hAnsi="微软雅黑" w:eastAsia="微软雅黑" w:cs="微软雅黑"/>
          <w:b/>
          <w:sz w:val="20"/>
          <w:szCs w:val="20"/>
        </w:rPr>
      </w:pPr>
    </w:p>
    <w:p w14:paraId="20DCC60B">
      <w:pPr>
        <w:tabs>
          <w:tab w:val="left" w:pos="780"/>
        </w:tabs>
        <w:spacing w:line="240" w:lineRule="auto"/>
        <w:ind w:firstLine="1201" w:firstLineChars="600"/>
        <w:rPr>
          <w:rFonts w:ascii="微软雅黑" w:hAnsi="微软雅黑" w:eastAsia="微软雅黑" w:cs="微软雅黑"/>
          <w:b/>
          <w:sz w:val="20"/>
          <w:szCs w:val="20"/>
        </w:rPr>
      </w:pPr>
    </w:p>
    <w:p w14:paraId="594E565C">
      <w:pPr>
        <w:tabs>
          <w:tab w:val="left" w:pos="780"/>
        </w:tabs>
        <w:spacing w:line="240" w:lineRule="auto"/>
        <w:jc w:val="center"/>
        <w:rPr>
          <w:rFonts w:ascii="微软雅黑" w:hAnsi="微软雅黑" w:eastAsia="微软雅黑" w:cs="微软雅黑"/>
          <w:b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</w:rPr>
        <w:t>合同归档管理规则</w:t>
      </w:r>
    </w:p>
    <w:p w14:paraId="03BDA0B1">
      <w:pPr>
        <w:tabs>
          <w:tab w:val="left" w:pos="780"/>
        </w:tabs>
        <w:spacing w:line="240" w:lineRule="auto"/>
        <w:jc w:val="center"/>
        <w:rPr>
          <w:rFonts w:ascii="微软雅黑" w:hAnsi="微软雅黑" w:eastAsia="微软雅黑" w:cs="微软雅黑"/>
          <w:b/>
          <w:sz w:val="20"/>
          <w:szCs w:val="20"/>
        </w:rPr>
      </w:pPr>
    </w:p>
    <w:p w14:paraId="22DF1029">
      <w:pPr>
        <w:tabs>
          <w:tab w:val="left" w:pos="780"/>
        </w:tabs>
        <w:spacing w:line="240" w:lineRule="auto"/>
        <w:jc w:val="center"/>
        <w:rPr>
          <w:rFonts w:ascii="微软雅黑" w:hAnsi="微软雅黑" w:eastAsia="微软雅黑" w:cs="微软雅黑"/>
          <w:b/>
          <w:sz w:val="20"/>
          <w:szCs w:val="20"/>
        </w:rPr>
      </w:pPr>
    </w:p>
    <w:p w14:paraId="3162BCD9">
      <w:pPr>
        <w:tabs>
          <w:tab w:val="left" w:pos="780"/>
        </w:tabs>
        <w:spacing w:line="240" w:lineRule="auto"/>
        <w:rPr>
          <w:rFonts w:ascii="微软雅黑" w:hAnsi="微软雅黑" w:eastAsia="微软雅黑" w:cs="微软雅黑"/>
          <w:b/>
          <w:sz w:val="20"/>
          <w:szCs w:val="20"/>
        </w:rPr>
      </w:pPr>
    </w:p>
    <w:p w14:paraId="614E49F9">
      <w:pPr>
        <w:tabs>
          <w:tab w:val="left" w:pos="780"/>
        </w:tabs>
        <w:spacing w:line="240" w:lineRule="auto"/>
        <w:ind w:firstLine="1201" w:firstLineChars="600"/>
        <w:rPr>
          <w:rFonts w:ascii="微软雅黑" w:hAnsi="微软雅黑" w:eastAsia="微软雅黑" w:cs="微软雅黑"/>
          <w:b/>
          <w:sz w:val="20"/>
          <w:szCs w:val="20"/>
        </w:rPr>
      </w:pPr>
    </w:p>
    <w:p w14:paraId="6570F463">
      <w:pPr>
        <w:tabs>
          <w:tab w:val="left" w:pos="780"/>
        </w:tabs>
        <w:spacing w:line="240" w:lineRule="auto"/>
        <w:ind w:firstLine="1201" w:firstLineChars="600"/>
        <w:rPr>
          <w:rFonts w:ascii="微软雅黑" w:hAnsi="微软雅黑" w:eastAsia="微软雅黑" w:cs="微软雅黑"/>
          <w:b/>
          <w:sz w:val="20"/>
          <w:szCs w:val="20"/>
        </w:rPr>
      </w:pPr>
    </w:p>
    <w:p w14:paraId="678DD0FE">
      <w:pPr>
        <w:tabs>
          <w:tab w:val="left" w:pos="780"/>
        </w:tabs>
        <w:spacing w:line="240" w:lineRule="auto"/>
        <w:ind w:firstLine="1201" w:firstLineChars="600"/>
        <w:rPr>
          <w:rFonts w:ascii="微软雅黑" w:hAnsi="微软雅黑" w:eastAsia="微软雅黑" w:cs="微软雅黑"/>
          <w:b/>
          <w:sz w:val="20"/>
          <w:szCs w:val="20"/>
        </w:rPr>
      </w:pPr>
    </w:p>
    <w:p w14:paraId="089E131F">
      <w:pPr>
        <w:tabs>
          <w:tab w:val="left" w:pos="780"/>
        </w:tabs>
        <w:spacing w:line="240" w:lineRule="auto"/>
        <w:ind w:firstLine="1201" w:firstLineChars="600"/>
        <w:rPr>
          <w:rFonts w:ascii="微软雅黑" w:hAnsi="微软雅黑" w:eastAsia="微软雅黑" w:cs="微软雅黑"/>
          <w:b/>
          <w:sz w:val="20"/>
          <w:szCs w:val="20"/>
        </w:rPr>
      </w:pPr>
    </w:p>
    <w:p w14:paraId="2498B173">
      <w:pPr>
        <w:tabs>
          <w:tab w:val="left" w:pos="780"/>
        </w:tabs>
        <w:spacing w:line="240" w:lineRule="auto"/>
        <w:ind w:firstLine="1201" w:firstLineChars="600"/>
        <w:rPr>
          <w:rFonts w:ascii="微软雅黑" w:hAnsi="微软雅黑" w:eastAsia="微软雅黑" w:cs="微软雅黑"/>
          <w:b/>
          <w:sz w:val="20"/>
          <w:szCs w:val="20"/>
        </w:rPr>
      </w:pPr>
    </w:p>
    <w:p w14:paraId="2E5078EB">
      <w:pPr>
        <w:tabs>
          <w:tab w:val="left" w:pos="780"/>
        </w:tabs>
        <w:spacing w:line="240" w:lineRule="auto"/>
        <w:rPr>
          <w:rFonts w:ascii="微软雅黑" w:hAnsi="微软雅黑" w:eastAsia="微软雅黑" w:cs="微软雅黑"/>
          <w:b/>
          <w:sz w:val="20"/>
          <w:szCs w:val="20"/>
        </w:rPr>
      </w:pPr>
    </w:p>
    <w:p w14:paraId="4E07B64D">
      <w:pPr>
        <w:tabs>
          <w:tab w:val="left" w:pos="780"/>
        </w:tabs>
        <w:spacing w:line="240" w:lineRule="auto"/>
        <w:jc w:val="center"/>
        <w:rPr>
          <w:rFonts w:ascii="微软雅黑" w:hAnsi="微软雅黑" w:eastAsia="微软雅黑" w:cs="微软雅黑"/>
          <w:sz w:val="28"/>
          <w:szCs w:val="21"/>
        </w:rPr>
      </w:pPr>
      <w:r>
        <w:rPr>
          <w:rFonts w:hint="eastAsia" w:ascii="微软雅黑" w:hAnsi="微软雅黑" w:eastAsia="微软雅黑" w:cs="微软雅黑"/>
          <w:b/>
          <w:sz w:val="20"/>
          <w:szCs w:val="20"/>
        </w:rPr>
        <w:t>2026年1月</w:t>
      </w:r>
    </w:p>
    <w:p w14:paraId="451AACC4">
      <w:pPr>
        <w:pStyle w:val="2"/>
        <w:rPr>
          <w:rFonts w:ascii="微软雅黑" w:hAnsi="微软雅黑" w:eastAsia="微软雅黑" w:cs="微软雅黑"/>
          <w:sz w:val="24"/>
          <w:szCs w:val="20"/>
        </w:rPr>
      </w:pPr>
      <w:r>
        <w:rPr>
          <w:rFonts w:hint="eastAsia" w:ascii="微软雅黑" w:hAnsi="微软雅黑" w:eastAsia="微软雅黑" w:cs="微软雅黑"/>
          <w:sz w:val="28"/>
          <w:szCs w:val="21"/>
        </w:rPr>
        <w:t>1目的</w:t>
      </w:r>
    </w:p>
    <w:p w14:paraId="36C9E16F">
      <w:pPr>
        <w:tabs>
          <w:tab w:val="left" w:pos="780"/>
        </w:tabs>
        <w:spacing w:line="240" w:lineRule="auto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为了保证公司业务有序发展，避免合同执行过程中产生法律风险及计收隐患，特制定合同管理规范。</w:t>
      </w:r>
    </w:p>
    <w:p w14:paraId="3F915DE4">
      <w:pPr>
        <w:pStyle w:val="2"/>
        <w:rPr>
          <w:rFonts w:ascii="微软雅黑" w:hAnsi="微软雅黑" w:eastAsia="微软雅黑" w:cs="微软雅黑"/>
          <w:sz w:val="28"/>
          <w:szCs w:val="21"/>
        </w:rPr>
      </w:pPr>
      <w:r>
        <w:rPr>
          <w:rFonts w:hint="eastAsia" w:ascii="微软雅黑" w:hAnsi="微软雅黑" w:eastAsia="微软雅黑" w:cs="微软雅黑"/>
          <w:sz w:val="28"/>
          <w:szCs w:val="21"/>
        </w:rPr>
        <w:t>2适用范围</w:t>
      </w:r>
    </w:p>
    <w:p w14:paraId="125AC11A">
      <w:pPr>
        <w:pStyle w:val="14"/>
        <w:widowControl w:val="0"/>
        <w:spacing w:after="0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商业化销售体系涉及的所有收入合同。协议类型包含：代理协议（含代理政策确认）、框架协议、单笔协议及以上协议的所有补充协议。</w:t>
      </w:r>
    </w:p>
    <w:p w14:paraId="5D002223">
      <w:pPr>
        <w:pStyle w:val="2"/>
        <w:rPr>
          <w:rFonts w:ascii="微软雅黑" w:hAnsi="微软雅黑" w:eastAsia="微软雅黑" w:cs="微软雅黑"/>
          <w:sz w:val="28"/>
          <w:szCs w:val="21"/>
        </w:rPr>
      </w:pPr>
      <w:r>
        <w:rPr>
          <w:rFonts w:hint="eastAsia" w:ascii="微软雅黑" w:hAnsi="微软雅黑" w:eastAsia="微软雅黑" w:cs="微软雅黑"/>
          <w:sz w:val="28"/>
          <w:szCs w:val="21"/>
        </w:rPr>
        <w:t>3定义</w:t>
      </w:r>
    </w:p>
    <w:p w14:paraId="29DAC08C">
      <w:pPr>
        <w:pStyle w:val="14"/>
        <w:tabs>
          <w:tab w:val="left" w:pos="780"/>
        </w:tabs>
        <w:spacing w:line="240" w:lineRule="auto"/>
        <w:ind w:firstLine="0" w:firstLineChars="0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1）合同归档：以系统（CRM/CLM）状态为准，：已归档、无需归档、电子合同归档、扫描件归档、均为正式归档，标记归档为临时归档状态，需后期将盖章协议交至法务，由法务将系统状态改为前述正式归档状态才算归档完成。</w:t>
      </w:r>
    </w:p>
    <w:p w14:paraId="51E88417">
      <w:pPr>
        <w:pStyle w:val="14"/>
        <w:tabs>
          <w:tab w:val="left" w:pos="780"/>
        </w:tabs>
        <w:spacing w:line="240" w:lineRule="auto"/>
        <w:ind w:firstLine="0" w:firstLineChars="0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系统内状态分类如下：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5"/>
        <w:gridCol w:w="5270"/>
      </w:tblGrid>
      <w:tr w14:paraId="56519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5" w:type="dxa"/>
          </w:tcPr>
          <w:p w14:paraId="38433580">
            <w:pPr>
              <w:pStyle w:val="14"/>
              <w:keepNext w:val="0"/>
              <w:keepLines w:val="0"/>
              <w:widowControl/>
              <w:suppressLineNumbers w:val="0"/>
              <w:tabs>
                <w:tab w:val="left" w:pos="780"/>
              </w:tabs>
              <w:spacing w:before="0" w:beforeAutospacing="0" w:afterAutospacing="0" w:line="240" w:lineRule="auto"/>
              <w:ind w:left="0" w:right="0" w:firstLine="360"/>
              <w:rPr>
                <w:rFonts w:hint="default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合同归档状态</w:t>
            </w:r>
          </w:p>
        </w:tc>
        <w:tc>
          <w:tcPr>
            <w:tcW w:w="5270" w:type="dxa"/>
          </w:tcPr>
          <w:p w14:paraId="3DB1F4B5">
            <w:pPr>
              <w:pStyle w:val="14"/>
              <w:keepNext w:val="0"/>
              <w:keepLines w:val="0"/>
              <w:widowControl/>
              <w:suppressLineNumbers w:val="0"/>
              <w:tabs>
                <w:tab w:val="left" w:pos="780"/>
              </w:tabs>
              <w:spacing w:before="0" w:beforeAutospacing="0" w:afterAutospacing="0" w:line="240" w:lineRule="auto"/>
              <w:ind w:left="0" w:right="0" w:firstLine="360"/>
              <w:rPr>
                <w:rFonts w:hint="default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场景说明</w:t>
            </w:r>
          </w:p>
        </w:tc>
      </w:tr>
      <w:tr w14:paraId="6316C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5" w:type="dxa"/>
          </w:tcPr>
          <w:p w14:paraId="10E5E010">
            <w:pPr>
              <w:pStyle w:val="14"/>
              <w:keepNext w:val="0"/>
              <w:keepLines w:val="0"/>
              <w:widowControl/>
              <w:suppressLineNumbers w:val="0"/>
              <w:tabs>
                <w:tab w:val="left" w:pos="780"/>
              </w:tabs>
              <w:spacing w:before="0" w:beforeAutospacing="0" w:afterAutospacing="0" w:line="240" w:lineRule="auto"/>
              <w:ind w:left="0" w:right="0" w:firstLine="360"/>
              <w:rPr>
                <w:rFonts w:hint="default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已归档</w:t>
            </w:r>
          </w:p>
        </w:tc>
        <w:tc>
          <w:tcPr>
            <w:tcW w:w="5270" w:type="dxa"/>
          </w:tcPr>
          <w:p w14:paraId="21842DE0">
            <w:pPr>
              <w:pStyle w:val="14"/>
              <w:keepNext w:val="0"/>
              <w:keepLines w:val="0"/>
              <w:widowControl/>
              <w:suppressLineNumbers w:val="0"/>
              <w:tabs>
                <w:tab w:val="left" w:pos="780"/>
              </w:tabs>
              <w:spacing w:before="0" w:beforeAutospacing="0" w:afterAutospacing="0" w:line="240" w:lineRule="auto"/>
              <w:ind w:left="0" w:right="0" w:firstLine="360"/>
              <w:rPr>
                <w:rFonts w:hint="default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协议已双方盖章归档</w:t>
            </w:r>
          </w:p>
        </w:tc>
      </w:tr>
      <w:tr w14:paraId="3909E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5" w:type="dxa"/>
          </w:tcPr>
          <w:p w14:paraId="33EBE173">
            <w:pPr>
              <w:pStyle w:val="14"/>
              <w:keepNext w:val="0"/>
              <w:keepLines w:val="0"/>
              <w:widowControl/>
              <w:suppressLineNumbers w:val="0"/>
              <w:tabs>
                <w:tab w:val="left" w:pos="780"/>
              </w:tabs>
              <w:spacing w:before="0" w:beforeAutospacing="0" w:afterAutospacing="0" w:line="240" w:lineRule="auto"/>
              <w:ind w:left="0" w:right="0" w:firstLine="360"/>
              <w:rPr>
                <w:rFonts w:hint="default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无需归档</w:t>
            </w:r>
          </w:p>
        </w:tc>
        <w:tc>
          <w:tcPr>
            <w:tcW w:w="5270" w:type="dxa"/>
          </w:tcPr>
          <w:p w14:paraId="429798E5">
            <w:pPr>
              <w:pStyle w:val="14"/>
              <w:keepNext w:val="0"/>
              <w:keepLines w:val="0"/>
              <w:widowControl/>
              <w:suppressLineNumbers w:val="0"/>
              <w:tabs>
                <w:tab w:val="left" w:pos="780"/>
              </w:tabs>
              <w:spacing w:before="0" w:beforeAutospacing="0" w:afterAutospacing="0" w:line="240" w:lineRule="auto"/>
              <w:ind w:left="0" w:right="0" w:firstLine="360"/>
              <w:rPr>
                <w:rFonts w:hint="default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由于特殊情况（网签协议），该协议无需盖章归档</w:t>
            </w:r>
          </w:p>
        </w:tc>
      </w:tr>
      <w:tr w14:paraId="24667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5" w:type="dxa"/>
          </w:tcPr>
          <w:p w14:paraId="4B1CC6BA">
            <w:pPr>
              <w:pStyle w:val="14"/>
              <w:keepNext w:val="0"/>
              <w:keepLines w:val="0"/>
              <w:widowControl/>
              <w:suppressLineNumbers w:val="0"/>
              <w:tabs>
                <w:tab w:val="left" w:pos="780"/>
              </w:tabs>
              <w:spacing w:before="0" w:beforeAutospacing="0" w:afterAutospacing="0" w:line="240" w:lineRule="auto"/>
              <w:ind w:left="0" w:right="0" w:firstLine="360"/>
              <w:rPr>
                <w:rFonts w:hint="default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电子合同归档</w:t>
            </w:r>
          </w:p>
        </w:tc>
        <w:tc>
          <w:tcPr>
            <w:tcW w:w="5270" w:type="dxa"/>
          </w:tcPr>
          <w:p w14:paraId="1F6A0E6D">
            <w:pPr>
              <w:pStyle w:val="14"/>
              <w:keepNext w:val="0"/>
              <w:keepLines w:val="0"/>
              <w:widowControl/>
              <w:suppressLineNumbers w:val="0"/>
              <w:tabs>
                <w:tab w:val="left" w:pos="780"/>
              </w:tabs>
              <w:spacing w:before="0" w:beforeAutospacing="0" w:afterAutospacing="0" w:line="240" w:lineRule="auto"/>
              <w:ind w:left="0" w:right="0" w:firstLine="360"/>
              <w:rPr>
                <w:rFonts w:hint="default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双方契约锁盖章</w:t>
            </w:r>
          </w:p>
        </w:tc>
      </w:tr>
      <w:tr w14:paraId="3AFF7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5" w:type="dxa"/>
            <w:shd w:val="clear" w:color="auto" w:fill="auto"/>
          </w:tcPr>
          <w:p w14:paraId="2C224428">
            <w:pPr>
              <w:pStyle w:val="14"/>
              <w:keepNext w:val="0"/>
              <w:keepLines w:val="0"/>
              <w:widowControl/>
              <w:suppressLineNumbers w:val="0"/>
              <w:tabs>
                <w:tab w:val="left" w:pos="780"/>
              </w:tabs>
              <w:spacing w:before="0" w:beforeAutospacing="0" w:afterAutospacing="0" w:line="240" w:lineRule="auto"/>
              <w:ind w:left="0" w:right="0" w:firstLine="360"/>
              <w:rPr>
                <w:rFonts w:hint="default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扫描件归档</w:t>
            </w:r>
          </w:p>
        </w:tc>
        <w:tc>
          <w:tcPr>
            <w:tcW w:w="5270" w:type="dxa"/>
            <w:shd w:val="clear" w:color="auto" w:fill="auto"/>
          </w:tcPr>
          <w:p w14:paraId="11688CBD">
            <w:pPr>
              <w:pStyle w:val="14"/>
              <w:keepNext w:val="0"/>
              <w:keepLines w:val="0"/>
              <w:widowControl/>
              <w:suppressLineNumbers w:val="0"/>
              <w:tabs>
                <w:tab w:val="left" w:pos="780"/>
              </w:tabs>
              <w:spacing w:before="0" w:beforeAutospacing="0" w:afterAutospacing="0" w:line="240" w:lineRule="auto"/>
              <w:ind w:left="0" w:right="0" w:firstLine="360"/>
              <w:rPr>
                <w:rFonts w:hint="default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线下纸质归档</w:t>
            </w:r>
          </w:p>
        </w:tc>
      </w:tr>
      <w:tr w14:paraId="70CE2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5" w:type="dxa"/>
          </w:tcPr>
          <w:p w14:paraId="12C7DEF1">
            <w:pPr>
              <w:pStyle w:val="14"/>
              <w:keepNext w:val="0"/>
              <w:keepLines w:val="0"/>
              <w:widowControl/>
              <w:suppressLineNumbers w:val="0"/>
              <w:tabs>
                <w:tab w:val="left" w:pos="780"/>
              </w:tabs>
              <w:spacing w:before="0" w:beforeAutospacing="0" w:afterAutospacing="0" w:line="240" w:lineRule="auto"/>
              <w:ind w:left="0" w:right="0" w:firstLine="360"/>
              <w:rPr>
                <w:rFonts w:hint="default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标记归档</w:t>
            </w:r>
          </w:p>
        </w:tc>
        <w:tc>
          <w:tcPr>
            <w:tcW w:w="5270" w:type="dxa"/>
          </w:tcPr>
          <w:p w14:paraId="2A00DD29">
            <w:pPr>
              <w:pStyle w:val="14"/>
              <w:keepNext w:val="0"/>
              <w:keepLines w:val="0"/>
              <w:widowControl/>
              <w:suppressLineNumbers w:val="0"/>
              <w:tabs>
                <w:tab w:val="left" w:pos="780"/>
              </w:tabs>
              <w:spacing w:before="0" w:beforeAutospacing="0" w:afterAutospacing="0" w:line="240" w:lineRule="auto"/>
              <w:ind w:left="0" w:right="0" w:firstLine="360"/>
              <w:rPr>
                <w:rFonts w:hint="default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业务侧特批申请，由法务先行“标记归档”，但后续该协议仍需正常归档</w:t>
            </w:r>
          </w:p>
        </w:tc>
      </w:tr>
      <w:tr w14:paraId="39513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5" w:type="dxa"/>
            <w:shd w:val="clear" w:color="auto" w:fill="auto"/>
          </w:tcPr>
          <w:p w14:paraId="1B9CE987">
            <w:pPr>
              <w:pStyle w:val="14"/>
              <w:keepNext w:val="0"/>
              <w:keepLines w:val="0"/>
              <w:widowControl/>
              <w:suppressLineNumbers w:val="0"/>
              <w:tabs>
                <w:tab w:val="left" w:pos="780"/>
              </w:tabs>
              <w:spacing w:before="0" w:beforeAutospacing="0" w:afterAutospacing="0" w:line="240" w:lineRule="auto"/>
              <w:ind w:left="0" w:right="0" w:firstLine="360"/>
              <w:rPr>
                <w:rFonts w:hint="default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未归档</w:t>
            </w:r>
          </w:p>
        </w:tc>
        <w:tc>
          <w:tcPr>
            <w:tcW w:w="5270" w:type="dxa"/>
            <w:shd w:val="clear" w:color="auto" w:fill="auto"/>
          </w:tcPr>
          <w:p w14:paraId="44309AF2">
            <w:pPr>
              <w:pStyle w:val="14"/>
              <w:keepNext w:val="0"/>
              <w:keepLines w:val="0"/>
              <w:widowControl/>
              <w:suppressLineNumbers w:val="0"/>
              <w:tabs>
                <w:tab w:val="left" w:pos="780"/>
              </w:tabs>
              <w:spacing w:before="0" w:beforeAutospacing="0" w:afterAutospacing="0" w:line="240" w:lineRule="auto"/>
              <w:ind w:left="0" w:right="0" w:firstLine="360"/>
              <w:rPr>
                <w:rFonts w:hint="default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协议流程已走完，尚未盖章归档</w:t>
            </w:r>
          </w:p>
        </w:tc>
      </w:tr>
    </w:tbl>
    <w:p w14:paraId="59CD48B1">
      <w:pPr>
        <w:pStyle w:val="14"/>
        <w:tabs>
          <w:tab w:val="left" w:pos="780"/>
        </w:tabs>
        <w:spacing w:line="240" w:lineRule="auto"/>
        <w:ind w:left="425" w:firstLine="0" w:firstLineChars="0"/>
        <w:rPr>
          <w:rFonts w:ascii="微软雅黑" w:hAnsi="微软雅黑" w:eastAsia="微软雅黑" w:cs="微软雅黑"/>
          <w:sz w:val="18"/>
          <w:szCs w:val="18"/>
        </w:rPr>
      </w:pPr>
    </w:p>
    <w:p w14:paraId="4A266FF4">
      <w:pPr>
        <w:spacing w:after="0"/>
        <w:jc w:val="both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2）代理政策确认：代理政策为代理协议的组成部分，以ONE系统状态为准，确认状态须为：全部确认。</w:t>
      </w:r>
    </w:p>
    <w:tbl>
      <w:tblPr>
        <w:tblStyle w:val="9"/>
        <w:tblW w:w="7165" w:type="dxa"/>
        <w:tblInd w:w="-1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5565"/>
      </w:tblGrid>
      <w:tr w14:paraId="337F4C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6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DDEBF7"/>
            <w:vAlign w:val="center"/>
          </w:tcPr>
          <w:p w14:paraId="09AD8E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微软雅黑" w:hAnsi="微软雅黑" w:eastAsia="微软雅黑" w:cs="微软雅黑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1"/>
                <w:szCs w:val="21"/>
              </w:rPr>
              <w:t>政策确认状态</w:t>
            </w:r>
          </w:p>
        </w:tc>
        <w:tc>
          <w:tcPr>
            <w:tcW w:w="556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DDEBF7"/>
            <w:vAlign w:val="center"/>
          </w:tcPr>
          <w:p w14:paraId="2F4344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微软雅黑" w:hAnsi="微软雅黑" w:eastAsia="微软雅黑" w:cs="微软雅黑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1"/>
                <w:szCs w:val="21"/>
              </w:rPr>
              <w:t>场景说明</w:t>
            </w:r>
          </w:p>
        </w:tc>
      </w:tr>
      <w:tr w14:paraId="188C3A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60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598B1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  <w:t>未确认</w:t>
            </w:r>
          </w:p>
        </w:tc>
        <w:tc>
          <w:tcPr>
            <w:tcW w:w="55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86449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  <w:t>政策已发布代理商未做确认</w:t>
            </w:r>
          </w:p>
        </w:tc>
      </w:tr>
      <w:tr w14:paraId="278B14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160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B07C5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  <w:t>部分确认</w:t>
            </w:r>
          </w:p>
        </w:tc>
        <w:tc>
          <w:tcPr>
            <w:tcW w:w="55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5D0F5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  <w:t>政策已发布，代理商政策部分确认或多主体代理商未全部点击确认</w:t>
            </w:r>
          </w:p>
        </w:tc>
      </w:tr>
      <w:tr w14:paraId="0D9D30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160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21707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  <w:t>全部确认</w:t>
            </w:r>
          </w:p>
        </w:tc>
        <w:tc>
          <w:tcPr>
            <w:tcW w:w="55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65FF9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  <w:t>政策已发布代理商各主体各政策全部点击确认</w:t>
            </w:r>
          </w:p>
        </w:tc>
      </w:tr>
    </w:tbl>
    <w:p w14:paraId="2B78F26E">
      <w:pPr>
        <w:spacing w:after="0"/>
        <w:ind w:left="420"/>
        <w:jc w:val="both"/>
        <w:rPr>
          <w:rFonts w:ascii="微软雅黑" w:hAnsi="微软雅黑" w:eastAsia="微软雅黑" w:cs="微软雅黑"/>
          <w:sz w:val="18"/>
          <w:szCs w:val="18"/>
        </w:rPr>
      </w:pPr>
    </w:p>
    <w:p w14:paraId="03EF4F6F">
      <w:pPr>
        <w:pStyle w:val="2"/>
        <w:rPr>
          <w:rFonts w:ascii="微软雅黑" w:hAnsi="微软雅黑" w:eastAsia="微软雅黑" w:cs="微软雅黑"/>
          <w:sz w:val="28"/>
          <w:szCs w:val="21"/>
        </w:rPr>
      </w:pPr>
      <w:r>
        <w:rPr>
          <w:rFonts w:hint="eastAsia" w:ascii="微软雅黑" w:hAnsi="微软雅黑" w:eastAsia="微软雅黑" w:cs="微软雅黑"/>
          <w:sz w:val="28"/>
          <w:szCs w:val="21"/>
        </w:rPr>
        <w:t>4未按时归档的影响</w:t>
      </w:r>
    </w:p>
    <w:p w14:paraId="562E50B0">
      <w:pPr>
        <w:rPr>
          <w:bCs/>
          <w:sz w:val="20"/>
          <w:szCs w:val="20"/>
        </w:rPr>
      </w:pPr>
      <w:r>
        <w:rPr>
          <w:rFonts w:hint="eastAsia" w:ascii="微软雅黑" w:hAnsi="微软雅黑" w:eastAsia="微软雅黑" w:cs="微软雅黑"/>
          <w:bCs/>
          <w:sz w:val="20"/>
          <w:szCs w:val="20"/>
        </w:rPr>
        <w:t>合同未归档/政策未确认，均会影响代理商/客户的优惠政策发放及销售奖金。</w:t>
      </w:r>
    </w:p>
    <w:tbl>
      <w:tblPr>
        <w:tblStyle w:val="9"/>
        <w:tblW w:w="6725" w:type="dxa"/>
        <w:tblInd w:w="-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5"/>
        <w:gridCol w:w="4290"/>
      </w:tblGrid>
      <w:tr w14:paraId="2CF14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435" w:type="dxa"/>
            <w:shd w:val="clear" w:color="000000" w:fill="DDEBF7"/>
            <w:vAlign w:val="center"/>
          </w:tcPr>
          <w:p w14:paraId="404311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微软雅黑" w:hAnsi="微软雅黑" w:eastAsia="微软雅黑" w:cs="微软雅黑"/>
                <w:b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  <w:szCs w:val="20"/>
              </w:rPr>
              <w:t>合同类型</w:t>
            </w:r>
          </w:p>
        </w:tc>
        <w:tc>
          <w:tcPr>
            <w:tcW w:w="4290" w:type="dxa"/>
            <w:shd w:val="clear" w:color="000000" w:fill="DDEBF7"/>
            <w:vAlign w:val="center"/>
          </w:tcPr>
          <w:p w14:paraId="2251FA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微软雅黑" w:hAnsi="微软雅黑" w:eastAsia="微软雅黑" w:cs="微软雅黑"/>
                <w:b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  <w:szCs w:val="20"/>
              </w:rPr>
              <w:t>影响</w:t>
            </w:r>
          </w:p>
        </w:tc>
      </w:tr>
      <w:tr w14:paraId="58B4B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2435" w:type="dxa"/>
            <w:shd w:val="clear" w:color="auto" w:fill="auto"/>
            <w:vAlign w:val="center"/>
          </w:tcPr>
          <w:p w14:paraId="2DECFC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代理协议</w:t>
            </w:r>
          </w:p>
        </w:tc>
        <w:tc>
          <w:tcPr>
            <w:tcW w:w="4290" w:type="dxa"/>
            <w:shd w:val="clear" w:color="auto" w:fill="auto"/>
            <w:vAlign w:val="center"/>
          </w:tcPr>
          <w:p w14:paraId="22AA1B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代理商优惠的核算及发放</w:t>
            </w:r>
          </w:p>
        </w:tc>
      </w:tr>
      <w:tr w14:paraId="69301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2435" w:type="dxa"/>
            <w:shd w:val="clear" w:color="auto" w:fill="auto"/>
            <w:vAlign w:val="center"/>
          </w:tcPr>
          <w:p w14:paraId="136C30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框架协议</w:t>
            </w:r>
          </w:p>
        </w:tc>
        <w:tc>
          <w:tcPr>
            <w:tcW w:w="4290" w:type="dxa"/>
            <w:shd w:val="clear" w:color="auto" w:fill="auto"/>
            <w:vAlign w:val="center"/>
          </w:tcPr>
          <w:p w14:paraId="02039D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客户的返点发放</w:t>
            </w:r>
          </w:p>
        </w:tc>
      </w:tr>
      <w:tr w14:paraId="33331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2435" w:type="dxa"/>
            <w:shd w:val="clear" w:color="auto" w:fill="auto"/>
            <w:vAlign w:val="center"/>
          </w:tcPr>
          <w:p w14:paraId="6A6D66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单笔协议</w:t>
            </w:r>
          </w:p>
        </w:tc>
        <w:tc>
          <w:tcPr>
            <w:tcW w:w="4290" w:type="dxa"/>
            <w:shd w:val="clear" w:color="auto" w:fill="auto"/>
            <w:vAlign w:val="center"/>
          </w:tcPr>
          <w:p w14:paraId="0C8E3B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财务的计收，销售奖金的核算及发放</w:t>
            </w:r>
          </w:p>
        </w:tc>
      </w:tr>
    </w:tbl>
    <w:p w14:paraId="7D8323D7">
      <w:r>
        <w:rPr>
          <w:rFonts w:hint="eastAsia" w:ascii="微软雅黑" w:hAnsi="微软雅黑" w:eastAsia="微软雅黑" w:cs="微软雅黑"/>
          <w:sz w:val="20"/>
          <w:szCs w:val="20"/>
        </w:rPr>
        <w:t>代理政策：未及时全部确认相关政策，可能影响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代理商/客户的优惠核算及发放</w:t>
      </w:r>
      <w:r>
        <w:rPr>
          <w:rFonts w:hint="eastAsia" w:ascii="微软雅黑" w:hAnsi="微软雅黑" w:eastAsia="微软雅黑" w:cs="微软雅黑"/>
          <w:sz w:val="20"/>
          <w:szCs w:val="20"/>
        </w:rPr>
        <w:t>，</w:t>
      </w:r>
    </w:p>
    <w:tbl>
      <w:tblPr>
        <w:tblStyle w:val="9"/>
        <w:tblW w:w="8080" w:type="dxa"/>
        <w:tblInd w:w="-1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6480"/>
      </w:tblGrid>
      <w:tr w14:paraId="03897F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6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DDEBF7"/>
            <w:vAlign w:val="center"/>
          </w:tcPr>
          <w:p w14:paraId="0F2495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政策确认状态</w:t>
            </w:r>
          </w:p>
        </w:tc>
        <w:tc>
          <w:tcPr>
            <w:tcW w:w="64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DDEBF7"/>
            <w:vAlign w:val="center"/>
          </w:tcPr>
          <w:p w14:paraId="120AC9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影响</w:t>
            </w:r>
          </w:p>
        </w:tc>
      </w:tr>
      <w:tr w14:paraId="69F9D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60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749FE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未确认</w:t>
            </w:r>
          </w:p>
        </w:tc>
        <w:tc>
          <w:tcPr>
            <w:tcW w:w="64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61230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不享受代理商核算及优惠的发放</w:t>
            </w:r>
          </w:p>
        </w:tc>
      </w:tr>
      <w:tr w14:paraId="1460B4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atLeast"/>
        </w:trPr>
        <w:tc>
          <w:tcPr>
            <w:tcW w:w="160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31671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部分确认</w:t>
            </w:r>
          </w:p>
        </w:tc>
        <w:tc>
          <w:tcPr>
            <w:tcW w:w="64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B7CAA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1. 若代理商主体或代理商绑定账号发生变化，需签署补充协议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2. 部分确认状态不享受代理商核算及优惠的发放，已确认主体亦不享受优惠发放</w:t>
            </w:r>
          </w:p>
        </w:tc>
      </w:tr>
      <w:tr w14:paraId="7603FE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60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78A95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全部确认</w:t>
            </w:r>
          </w:p>
        </w:tc>
        <w:tc>
          <w:tcPr>
            <w:tcW w:w="64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9D376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此状态为代理商正常发放优惠的一状态</w:t>
            </w:r>
          </w:p>
        </w:tc>
      </w:tr>
    </w:tbl>
    <w:p w14:paraId="3108393E">
      <w:pPr>
        <w:pStyle w:val="2"/>
        <w:rPr>
          <w:rFonts w:ascii="微软雅黑" w:hAnsi="微软雅黑" w:eastAsia="微软雅黑" w:cs="微软雅黑"/>
          <w:sz w:val="28"/>
          <w:szCs w:val="21"/>
        </w:rPr>
      </w:pPr>
      <w:r>
        <w:rPr>
          <w:rFonts w:hint="eastAsia" w:ascii="微软雅黑" w:hAnsi="微软雅黑" w:eastAsia="微软雅黑" w:cs="微软雅黑"/>
          <w:sz w:val="28"/>
          <w:szCs w:val="21"/>
        </w:rPr>
        <w:t>5</w:t>
      </w:r>
      <w:r>
        <w:rPr>
          <w:rFonts w:ascii="微软雅黑" w:hAnsi="微软雅黑" w:eastAsia="微软雅黑" w:cs="微软雅黑"/>
          <w:sz w:val="28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8"/>
          <w:szCs w:val="21"/>
        </w:rPr>
        <w:t>归档时间要求</w:t>
      </w:r>
    </w:p>
    <w:p w14:paraId="271D4017">
      <w:pPr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归档考核周期：季度归档；</w:t>
      </w:r>
      <w:r>
        <w:rPr>
          <w:rFonts w:hint="eastAsia" w:ascii="微软雅黑" w:hAnsi="微软雅黑" w:eastAsia="微软雅黑" w:cs="微软雅黑"/>
          <w:sz w:val="21"/>
          <w:szCs w:val="21"/>
        </w:rPr>
        <w:t>所有合同需在签订完成后5个工作日内归档，如遇特殊情况：需保证最晚于当季度最后一个月底前归档完毕；</w:t>
      </w:r>
    </w:p>
    <w:p w14:paraId="30615831">
      <w:pPr>
        <w:widowControl w:val="0"/>
        <w:numPr>
          <w:ilvl w:val="0"/>
          <w:numId w:val="1"/>
        </w:numPr>
        <w:spacing w:after="0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考核周期</w:t>
      </w:r>
      <w:r>
        <w:rPr>
          <w:rFonts w:hint="eastAsia" w:ascii="微软雅黑" w:hAnsi="微软雅黑" w:eastAsia="微软雅黑" w:cs="微软雅黑"/>
          <w:sz w:val="20"/>
          <w:szCs w:val="20"/>
        </w:rPr>
        <w:t>内应归档的合同范围：</w:t>
      </w:r>
    </w:p>
    <w:p w14:paraId="6E8D8C76">
      <w:pP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①当季度提交的合同（除“合作起始日期为下季度及以后”的合同），均应当季度归档；</w:t>
      </w:r>
    </w:p>
    <w:p w14:paraId="5BA69301">
      <w:pPr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②</w:t>
      </w:r>
      <w:r>
        <w:rPr>
          <w:rFonts w:hint="eastAsia" w:ascii="微软雅黑" w:hAnsi="微软雅黑" w:eastAsia="微软雅黑" w:cs="微软雅黑"/>
          <w:sz w:val="20"/>
          <w:szCs w:val="20"/>
        </w:rPr>
        <w:t>往期合同未归档：“合同起始日期”&amp;“提交时间”为往期，但未归档或标记归档。</w:t>
      </w:r>
    </w:p>
    <w:p w14:paraId="76BC9202">
      <w:pPr>
        <w:pStyle w:val="2"/>
        <w:rPr>
          <w:rFonts w:ascii="微软雅黑" w:hAnsi="微软雅黑" w:eastAsia="微软雅黑" w:cs="微软雅黑"/>
          <w:sz w:val="28"/>
          <w:szCs w:val="21"/>
        </w:rPr>
      </w:pPr>
      <w:r>
        <w:rPr>
          <w:rFonts w:hint="eastAsia" w:ascii="微软雅黑" w:hAnsi="微软雅黑" w:eastAsia="微软雅黑" w:cs="微软雅黑"/>
          <w:sz w:val="28"/>
          <w:szCs w:val="21"/>
        </w:rPr>
        <w:t>6合同归档方式</w:t>
      </w:r>
    </w:p>
    <w:tbl>
      <w:tblPr>
        <w:tblStyle w:val="10"/>
        <w:tblW w:w="8123" w:type="dxa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0"/>
        <w:gridCol w:w="2159"/>
        <w:gridCol w:w="4384"/>
      </w:tblGrid>
      <w:tr w14:paraId="0D0BD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580" w:type="dxa"/>
            <w:shd w:val="clear" w:color="auto" w:fill="DEEAF6" w:themeFill="accent1" w:themeFillTint="33"/>
          </w:tcPr>
          <w:p w14:paraId="3E1BC18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微软雅黑" w:hAnsi="微软雅黑" w:eastAsia="微软雅黑" w:cs="微软雅黑"/>
                <w:b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  <w:szCs w:val="20"/>
              </w:rPr>
              <w:t>系统</w:t>
            </w:r>
          </w:p>
        </w:tc>
        <w:tc>
          <w:tcPr>
            <w:tcW w:w="2159" w:type="dxa"/>
            <w:shd w:val="clear" w:color="auto" w:fill="DEEAF6" w:themeFill="accent1" w:themeFillTint="33"/>
          </w:tcPr>
          <w:p w14:paraId="2946AD0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微软雅黑" w:hAnsi="微软雅黑" w:eastAsia="微软雅黑" w:cs="微软雅黑"/>
                <w:b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  <w:szCs w:val="20"/>
              </w:rPr>
              <w:t>方式</w:t>
            </w:r>
          </w:p>
        </w:tc>
        <w:tc>
          <w:tcPr>
            <w:tcW w:w="4384" w:type="dxa"/>
            <w:shd w:val="clear" w:color="auto" w:fill="DEEAF6" w:themeFill="accent1" w:themeFillTint="33"/>
          </w:tcPr>
          <w:p w14:paraId="5348189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微软雅黑" w:hAnsi="微软雅黑" w:eastAsia="微软雅黑" w:cs="微软雅黑"/>
                <w:b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  <w:szCs w:val="20"/>
              </w:rPr>
              <w:t>归档方式</w:t>
            </w:r>
          </w:p>
        </w:tc>
      </w:tr>
      <w:tr w14:paraId="20A8B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0" w:hRule="atLeast"/>
        </w:trPr>
        <w:tc>
          <w:tcPr>
            <w:tcW w:w="1580" w:type="dxa"/>
            <w:vMerge w:val="restart"/>
          </w:tcPr>
          <w:p w14:paraId="7FFF2D6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CRM 、CLM</w:t>
            </w:r>
          </w:p>
          <w:p w14:paraId="4BB3902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微软雅黑" w:hAnsi="微软雅黑" w:eastAsia="微软雅黑" w:cs="微软雅黑"/>
                <w:sz w:val="20"/>
                <w:szCs w:val="20"/>
              </w:rPr>
            </w:pPr>
          </w:p>
        </w:tc>
        <w:tc>
          <w:tcPr>
            <w:tcW w:w="2159" w:type="dxa"/>
          </w:tcPr>
          <w:p w14:paraId="7FF0EFE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电子归档（契约锁）</w:t>
            </w:r>
          </w:p>
        </w:tc>
        <w:tc>
          <w:tcPr>
            <w:tcW w:w="4384" w:type="dxa"/>
          </w:tcPr>
          <w:p w14:paraId="6432FD0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合同流程生效后，系统推送至客户，客户电子盖章后，推送至我方系统，法务操作后系统状态变为已归档。</w:t>
            </w:r>
          </w:p>
        </w:tc>
      </w:tr>
      <w:tr w14:paraId="3EF6B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2" w:hRule="atLeast"/>
        </w:trPr>
        <w:tc>
          <w:tcPr>
            <w:tcW w:w="1580" w:type="dxa"/>
            <w:vMerge w:val="continue"/>
            <w:tcBorders>
              <w:bottom w:val="single" w:color="auto" w:sz="4" w:space="0"/>
            </w:tcBorders>
          </w:tcPr>
          <w:p w14:paraId="66C3AFD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微软雅黑" w:hAnsi="微软雅黑" w:eastAsia="微软雅黑" w:cs="微软雅黑"/>
                <w:sz w:val="20"/>
                <w:szCs w:val="20"/>
              </w:rPr>
            </w:pPr>
          </w:p>
        </w:tc>
        <w:tc>
          <w:tcPr>
            <w:tcW w:w="2159" w:type="dxa"/>
            <w:tcBorders>
              <w:bottom w:val="single" w:color="auto" w:sz="4" w:space="0"/>
            </w:tcBorders>
          </w:tcPr>
          <w:p w14:paraId="2BA06B6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纸质归档</w:t>
            </w:r>
          </w:p>
          <w:p w14:paraId="1BD242B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微软雅黑" w:hAnsi="微软雅黑" w:eastAsia="微软雅黑" w:cs="微软雅黑"/>
                <w:sz w:val="20"/>
                <w:szCs w:val="20"/>
              </w:rPr>
            </w:pPr>
          </w:p>
        </w:tc>
        <w:tc>
          <w:tcPr>
            <w:tcW w:w="4384" w:type="dxa"/>
            <w:tcBorders>
              <w:bottom w:val="single" w:color="auto" w:sz="4" w:space="0"/>
            </w:tcBorders>
          </w:tcPr>
          <w:p w14:paraId="7052D7B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客户线下完成合同盖章后寄回总部，由各渠道助理或行业组助理向法务发送归档需求邮件，再将合同给至法务进行扫描件上传，法务操作后系统状态变为已归档。</w:t>
            </w:r>
          </w:p>
        </w:tc>
      </w:tr>
    </w:tbl>
    <w:p w14:paraId="64447024">
      <w:pPr>
        <w:numPr>
          <w:ilvl w:val="0"/>
          <w:numId w:val="2"/>
        </w:numPr>
        <w:spacing w:after="0" w:line="240" w:lineRule="auto"/>
        <w:jc w:val="center"/>
        <w:rPr>
          <w:rFonts w:ascii="微软雅黑" w:hAnsi="微软雅黑" w:eastAsia="微软雅黑" w:cs="微软雅黑"/>
          <w:b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如无法按时完成归档，需走特批流程，申请由法务将合同的系统状态调整为“标记归档”。</w:t>
      </w:r>
    </w:p>
    <w:p w14:paraId="347965AE">
      <w:pPr>
        <w:pStyle w:val="2"/>
        <w:rPr>
          <w:rFonts w:ascii="微软雅黑" w:hAnsi="微软雅黑" w:eastAsia="微软雅黑" w:cs="微软雅黑"/>
          <w:sz w:val="28"/>
          <w:szCs w:val="21"/>
        </w:rPr>
      </w:pPr>
      <w:r>
        <w:rPr>
          <w:rFonts w:hint="eastAsia" w:ascii="微软雅黑" w:hAnsi="微软雅黑" w:eastAsia="微软雅黑" w:cs="微软雅黑"/>
          <w:sz w:val="28"/>
          <w:szCs w:val="21"/>
        </w:rPr>
        <w:t>7特批流程</w:t>
      </w:r>
    </w:p>
    <w:p w14:paraId="485B7800">
      <w:pPr>
        <w:pStyle w:val="3"/>
        <w:rPr>
          <w:rFonts w:ascii="微软雅黑" w:hAnsi="微软雅黑" w:eastAsia="微软雅黑" w:cs="微软雅黑"/>
          <w:sz w:val="24"/>
          <w:szCs w:val="20"/>
        </w:rPr>
      </w:pPr>
      <w:r>
        <w:rPr>
          <w:rFonts w:hint="eastAsia" w:ascii="微软雅黑" w:hAnsi="微软雅黑" w:eastAsia="微软雅黑" w:cs="微软雅黑"/>
          <w:sz w:val="24"/>
          <w:szCs w:val="20"/>
        </w:rPr>
        <w:t>7.1特批时间</w:t>
      </w:r>
    </w:p>
    <w:p w14:paraId="149EE2C2">
      <w:pPr>
        <w:pStyle w:val="14"/>
        <w:numPr>
          <w:ilvl w:val="0"/>
          <w:numId w:val="3"/>
        </w:numPr>
        <w:spacing w:after="0" w:line="240" w:lineRule="auto"/>
        <w:ind w:firstLineChars="0"/>
        <w:jc w:val="both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季度末如有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合同</w:t>
      </w:r>
      <w:r>
        <w:rPr>
          <w:rFonts w:hint="eastAsia" w:ascii="微软雅黑" w:hAnsi="微软雅黑" w:eastAsia="微软雅黑" w:cs="微软雅黑"/>
          <w:sz w:val="21"/>
          <w:szCs w:val="21"/>
        </w:rPr>
        <w:t>无法按时归档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的</w:t>
      </w:r>
      <w:r>
        <w:rPr>
          <w:rFonts w:hint="eastAsia" w:ascii="微软雅黑" w:hAnsi="微软雅黑" w:eastAsia="微软雅黑" w:cs="微软雅黑"/>
          <w:sz w:val="21"/>
          <w:szCs w:val="21"/>
        </w:rPr>
        <w:t>风险，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须提前发起特批，且</w:t>
      </w:r>
      <w:r>
        <w:rPr>
          <w:rFonts w:hint="eastAsia" w:ascii="微软雅黑" w:hAnsi="微软雅黑" w:eastAsia="微软雅黑" w:cs="微软雅黑"/>
          <w:sz w:val="21"/>
          <w:szCs w:val="21"/>
        </w:rPr>
        <w:t>确保当季度内完成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标记归档</w:t>
      </w:r>
      <w:r>
        <w:rPr>
          <w:rFonts w:hint="eastAsia" w:ascii="微软雅黑" w:hAnsi="微软雅黑" w:eastAsia="微软雅黑" w:cs="微软雅黑"/>
          <w:sz w:val="21"/>
          <w:szCs w:val="21"/>
        </w:rPr>
        <w:t>；</w:t>
      </w:r>
    </w:p>
    <w:p w14:paraId="72649C4A">
      <w:pPr>
        <w:pStyle w:val="3"/>
        <w:rPr>
          <w:rFonts w:ascii="微软雅黑" w:hAnsi="微软雅黑" w:eastAsia="微软雅黑" w:cs="微软雅黑"/>
          <w:sz w:val="24"/>
          <w:szCs w:val="20"/>
        </w:rPr>
      </w:pPr>
      <w:r>
        <w:rPr>
          <w:rFonts w:hint="eastAsia" w:ascii="微软雅黑" w:hAnsi="微软雅黑" w:eastAsia="微软雅黑" w:cs="微软雅黑"/>
          <w:sz w:val="24"/>
          <w:szCs w:val="20"/>
        </w:rPr>
        <w:t>7.2特批场景及审批层级</w:t>
      </w:r>
      <w:bookmarkStart w:id="0" w:name="_GoBack"/>
      <w:bookmarkEnd w:id="0"/>
    </w:p>
    <w:p w14:paraId="490FFDBE">
      <w:pPr>
        <w:pStyle w:val="14"/>
        <w:numPr>
          <w:ilvl w:val="0"/>
          <w:numId w:val="4"/>
        </w:numPr>
        <w:ind w:firstLineChars="0"/>
        <w:rPr>
          <w:rFonts w:ascii="微软雅黑" w:hAnsi="微软雅黑" w:eastAsia="微软雅黑" w:cs="微软雅黑"/>
          <w:vanish/>
          <w:color w:val="1F497D"/>
          <w:sz w:val="21"/>
          <w:szCs w:val="21"/>
        </w:rPr>
      </w:pPr>
    </w:p>
    <w:p w14:paraId="6CE596FD">
      <w:pPr>
        <w:pStyle w:val="14"/>
        <w:numPr>
          <w:ilvl w:val="0"/>
          <w:numId w:val="4"/>
        </w:numPr>
        <w:ind w:firstLineChars="0"/>
        <w:rPr>
          <w:rFonts w:ascii="微软雅黑" w:hAnsi="微软雅黑" w:eastAsia="微软雅黑" w:cs="微软雅黑"/>
          <w:vanish/>
          <w:color w:val="1F497D"/>
          <w:sz w:val="21"/>
          <w:szCs w:val="21"/>
        </w:rPr>
      </w:pPr>
    </w:p>
    <w:p w14:paraId="21FAAA23">
      <w:pPr>
        <w:pStyle w:val="14"/>
        <w:numPr>
          <w:ilvl w:val="0"/>
          <w:numId w:val="4"/>
        </w:numPr>
        <w:ind w:firstLineChars="0"/>
        <w:rPr>
          <w:rFonts w:ascii="微软雅黑" w:hAnsi="微软雅黑" w:eastAsia="微软雅黑" w:cs="微软雅黑"/>
          <w:vanish/>
          <w:color w:val="1F497D"/>
          <w:sz w:val="21"/>
          <w:szCs w:val="21"/>
        </w:rPr>
      </w:pPr>
    </w:p>
    <w:p w14:paraId="10B45B0D">
      <w:pPr>
        <w:pStyle w:val="14"/>
        <w:numPr>
          <w:ilvl w:val="0"/>
          <w:numId w:val="4"/>
        </w:numPr>
        <w:ind w:firstLineChars="0"/>
        <w:rPr>
          <w:rFonts w:ascii="微软雅黑" w:hAnsi="微软雅黑" w:eastAsia="微软雅黑" w:cs="微软雅黑"/>
          <w:vanish/>
          <w:color w:val="1F497D"/>
          <w:sz w:val="21"/>
          <w:szCs w:val="21"/>
        </w:rPr>
      </w:pPr>
    </w:p>
    <w:p w14:paraId="24CBACF5">
      <w:pPr>
        <w:pStyle w:val="14"/>
        <w:numPr>
          <w:ilvl w:val="1"/>
          <w:numId w:val="4"/>
        </w:numPr>
        <w:ind w:firstLineChars="0"/>
        <w:rPr>
          <w:rFonts w:ascii="微软雅黑" w:hAnsi="微软雅黑" w:eastAsia="微软雅黑" w:cs="微软雅黑"/>
          <w:vanish/>
          <w:color w:val="1F497D"/>
          <w:sz w:val="21"/>
          <w:szCs w:val="21"/>
        </w:rPr>
      </w:pPr>
    </w:p>
    <w:p w14:paraId="4000A342">
      <w:pPr>
        <w:pStyle w:val="14"/>
        <w:ind w:left="567" w:firstLine="0" w:firstLineChars="0"/>
        <w:jc w:val="both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当季度底最后无法归档的合同，业务侧可发起特批申请；</w:t>
      </w:r>
    </w:p>
    <w:tbl>
      <w:tblPr>
        <w:tblStyle w:val="9"/>
        <w:tblW w:w="8634" w:type="dxa"/>
        <w:tblInd w:w="3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0"/>
        <w:gridCol w:w="4344"/>
        <w:gridCol w:w="2700"/>
      </w:tblGrid>
      <w:tr w14:paraId="044D3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2F8731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归档类型</w:t>
            </w:r>
          </w:p>
        </w:tc>
        <w:tc>
          <w:tcPr>
            <w:tcW w:w="4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5CD2FB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要求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252F5E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审批层级</w:t>
            </w:r>
          </w:p>
        </w:tc>
      </w:tr>
      <w:tr w14:paraId="5D65A5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</w:trPr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5223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电子合同归档</w:t>
            </w:r>
          </w:p>
        </w:tc>
        <w:tc>
          <w:tcPr>
            <w:tcW w:w="4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2C07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  <w:t>契约锁推送失败，需提供系统截图</w:t>
            </w:r>
          </w:p>
        </w:tc>
        <w:tc>
          <w:tcPr>
            <w:tcW w:w="270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89C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销售负责人（抄送销管负责人）审批，发商务组评估</w:t>
            </w:r>
          </w:p>
        </w:tc>
      </w:tr>
      <w:tr w14:paraId="2F0F4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2652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纸质合同归档</w:t>
            </w:r>
          </w:p>
        </w:tc>
        <w:tc>
          <w:tcPr>
            <w:tcW w:w="4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C07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客户已盖章，需提供证明材料（如代理商/客户确认已盖章邮件、快递单号、合同扫描件等）</w:t>
            </w:r>
          </w:p>
        </w:tc>
        <w:tc>
          <w:tcPr>
            <w:tcW w:w="27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CA6E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1"/>
                <w:szCs w:val="21"/>
              </w:rPr>
            </w:pPr>
          </w:p>
        </w:tc>
      </w:tr>
      <w:tr w14:paraId="49E80A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6291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其他</w:t>
            </w:r>
          </w:p>
        </w:tc>
        <w:tc>
          <w:tcPr>
            <w:tcW w:w="4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7570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以上未覆盖的场景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F63D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商业化负责人</w:t>
            </w:r>
          </w:p>
        </w:tc>
      </w:tr>
    </w:tbl>
    <w:p w14:paraId="287C9232"/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6A7D9B">
    <w:pPr>
      <w:pStyle w:val="8"/>
      <w:jc w:val="left"/>
      <w:rPr>
        <w:rFonts w:ascii="微软雅黑" w:hAnsi="微软雅黑" w:eastAsia="微软雅黑"/>
        <w:color w:val="262626" w:themeColor="text1" w:themeTint="D9"/>
        <w14:textFill>
          <w14:solidFill>
            <w14:schemeClr w14:val="tx1">
              <w14:lumMod w14:val="85000"/>
              <w14:lumOff w14:val="15000"/>
            </w14:schemeClr>
          </w14:solidFill>
        </w14:textFill>
      </w:rPr>
    </w:pPr>
    <w:r>
      <w:rPr>
        <w:rFonts w:ascii="Calibri" w:hAnsi="Calibri" w:cs="Calibri"/>
        <w:sz w:val="21"/>
        <w:szCs w:val="21"/>
      </w:rPr>
      <w:drawing>
        <wp:inline distT="0" distB="0" distL="0" distR="0">
          <wp:extent cx="2041525" cy="499745"/>
          <wp:effectExtent l="0" t="0" r="0" b="0"/>
          <wp:docPr id="2" name="图片 2" descr="图片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图片3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41525" cy="499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aps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530" cy="1024255"/>
              <wp:effectExtent l="0" t="0" r="0" b="24130"/>
              <wp:wrapNone/>
              <wp:docPr id="167" name="组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组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矩形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0" name="矩形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1" name="矩形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3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wps:wsp>
                      <wps:cNvPr id="172" name="文本框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429DA0">
                            <w:pPr>
                              <w:pStyle w:val="8"/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instrText xml:space="preserve"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组 167" o:spid="_x0000_s1026" o:spt="203" style="position:absolute;left:0pt;margin-left:461.4pt;margin-top:19.35pt;height:80.65pt;width:133.9pt;mso-position-horizontal-relative:page;mso-position-vertical-relative:page;z-index:251659264;mso-width-relative:page;mso-height-relative:page;" coordsize="1700784,1024128" o:gfxdata="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CqJg6+tgAA&#10;ACEBAAAZAAAAZHJzL19yZWxzL2Uyb0RvYy54bWwucmVsc4WPQWrDMBBF94XcQcw+lp1FKMWyN6Hg&#10;bUgOMEhjWcQaCUkt9e0jyCaBQJfzP/89ph///Cp+KWUXWEHXtCCIdTCOrYLr5Xv/CSIXZINrYFKw&#10;UYZx2H30Z1qx1FFeXMyiUjgrWEqJX1JmvZDH3IRIXJs5JI+lnsnKiPqGluShbY8yPTNgeGGKyShI&#10;k+lAXLZYzf+zwzw7TaegfzxxeaOQzld3BWKyVBR4Mg4fYddEtiCHXr48NtwB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">
              <o:lock v:ext="edit" aspectratio="f"/>
              <v:group id="组 168" o:spid="_x0000_s1026" o:spt="203" style="position:absolute;left:0;top:0;height:1024128;width:1700784;" coordsize="1700784,1024128" o:gfxdata="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4zdHe+AAAA3AAAAA8AAAAAAAAAAQAgAAAAIgAAAGRycy9kb3ducmV2Lnht&#10;bFBLAQIUABQAAAAIAIdO4kAzLwWeOwAAADkAAAAVAAAAAAAAAAEAIAAAAA0BAABkcnMvZ3JvdXBz&#10;aGFwZXhtbC54bWxQSwUGAAAAAAYABgBgAQAAygMAAAAA&#10;">
                <o:lock v:ext="edit" aspectratio="f"/>
                <v:rect id="_x0000_s1026" o:spid="_x0000_s1026" o:spt="1" style="position:absolute;left:0;top:0;height:1024128;width:1700784;v-text-anchor:middle;" fillcolor="#FFFFFF [3212]" filled="t" stroked="f" coordsize="21600,21600" o:gfxdata="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/EuhvQAA&#10;ANwAAAAPAAAAAAAAAAEAIAAAACIAAABkcnMvZG93bnJldi54bWxQSwECFAAUAAAACACHTuJAMy8F&#10;njsAAAA5AAAAEAAAAAAAAAABACAAAAAMAQAAZHJzL3NoYXBleG1sLnhtbFBLBQYAAAAABgAGAFsB&#10;AAC2AwAAAAA=&#10;">
                  <v:fill on="t" opacity="0f" focussize="0,0"/>
                  <v:stroke on="f" weight="1pt" miterlimit="8" joinstyle="miter"/>
                  <v:imagedata o:title=""/>
                  <o:lock v:ext="edit" aspectratio="f"/>
                </v:rect>
                <v:shape id="矩形 12" o:spid="_x0000_s1026" o:spt="100" style="position:absolute;left:0;top:0;height:1014984;width:1463040;v-text-anchor:middle;" fillcolor="#5B9BD5 [3204]" filled="t" stroked="f" coordsize="1462822,1014481" o:gfxdata="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2tRum&#10;wAAAANwAAAAPAAAAAAAAAAEAIAAAACIAAABkcnMvZG93bnJldi54bWxQSwECFAAUAAAACACHTuJA&#10;My8FnjsAAAA5AAAAEAAAAAAAAAABACAAAAAPAQAAZHJzL3NoYXBleG1sLnhtbFBLBQYAAAAABgAG&#10;AFsBAAC5AwAAAAA=&#10;" path="m0,0l1462822,0,1462822,1014481,638269,407899,0,0xe">
                  <v:path o:connectlocs="0,0;1463040,0;1463040,1014984;638364,408101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_x0000_s1026" o:spid="_x0000_s1026" o:spt="1" style="position:absolute;left:0;top:0;height:1024128;width:1472184;v-text-anchor:middle;" filled="t" stroked="t" coordsize="21600,21600" o:gfxdata="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fszxW8AAAA&#10;3AAAAA8AAAAAAAAAAQAgAAAAIgAAAGRycy9kb3ducmV2LnhtbFBLAQIUABQAAAAIAIdO4kAzLwWe&#10;OwAAADkAAAAQAAAAAAAAAAEAIAAAAAsBAABkcnMvc2hhcGV4bWwueG1sUEsFBgAAAAAGAAYAWwEA&#10;ALUDAAAAAA==&#10;">
                  <v:fill type="frame" on="t" focussize="0,0" recolor="t" rotate="t" r:id="rId3"/>
                  <v:stroke weight="1pt" color="#FFFFFF [3212]" miterlimit="8" joinstyle="miter"/>
                  <v:imagedata o:title=""/>
                  <o:lock v:ext="edit" aspectratio="f"/>
                </v:rect>
              </v:group>
              <v:shape id="_x0000_s1026" o:spid="_x0000_s1026" o:spt="202" type="#_x0000_t202" style="position:absolute;left:1032625;top:9510;height:375285;width:438150;v-text-anchor:middle;" filled="f" stroked="f" coordsize="21600,21600" o:gfxdata="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SfqtvQAA&#10;ANwAAAAPAAAAAAAAAAEAIAAAACIAAABkcnMvZG93bnJldi54bWxQSwECFAAUAAAACACHTuJAMy8F&#10;njsAAAA5AAAAEAAAAAAAAAABACAAAAAMAQAAZHJzL3NoYXBleG1sLnhtbFBLBQYAAAAABgAGAFsB&#10;AAC2AwAAAAA=&#10;">
                <v:fill on="f" focussize="0,0"/>
                <v:stroke on="f" weight="0.5pt"/>
                <v:imagedata o:title=""/>
                <o:lock v:ext="edit" aspectratio="f"/>
                <v:textbox inset="2.54mm,2.54mm,2.54mm,2.54mm">
                  <w:txbxContent>
                    <w:p w14:paraId="42429DA0">
                      <w:pPr>
                        <w:pStyle w:val="8"/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instrText xml:space="preserve"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:lang w:val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rFonts w:hint="eastAsia"/>
      </w:rPr>
      <w:t xml:space="preserve"> </w:t>
    </w:r>
    <w:r>
      <w:t xml:space="preserve">                </w:t>
    </w:r>
    <w:r>
      <w:rPr>
        <w:color w:val="404040" w:themeColor="text1" w:themeTint="BF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  <w:t xml:space="preserve">  </w:t>
    </w:r>
    <w:r>
      <w:rPr>
        <w:rFonts w:hint="eastAsia" w:ascii="黑体" w:hAnsi="黑体" w:eastAsia="黑体"/>
        <w:color w:val="262626" w:themeColor="text1" w:themeTint="D9"/>
        <w14:textFill>
          <w14:solidFill>
            <w14:schemeClr w14:val="tx1">
              <w14:lumMod w14:val="85000"/>
              <w14:lumOff w14:val="15000"/>
            </w14:schemeClr>
          </w14:solidFill>
        </w14:textFill>
      </w:rPr>
      <w:t>合同归档管理规则-</w:t>
    </w:r>
    <w:r>
      <w:rPr>
        <w:rFonts w:ascii="黑体" w:hAnsi="黑体" w:eastAsia="黑体"/>
        <w:color w:val="262626" w:themeColor="text1" w:themeTint="D9"/>
        <w14:textFill>
          <w14:solidFill>
            <w14:schemeClr w14:val="tx1">
              <w14:lumMod w14:val="85000"/>
              <w14:lumOff w14:val="15000"/>
            </w14:schemeClr>
          </w14:solidFill>
        </w14:textFill>
      </w:rPr>
      <w:t>2026</w:t>
    </w:r>
    <w:r>
      <w:rPr>
        <w:rFonts w:hint="eastAsia" w:ascii="黑体" w:hAnsi="黑体" w:eastAsia="黑体"/>
        <w:color w:val="262626" w:themeColor="text1" w:themeTint="D9"/>
        <w14:textFill>
          <w14:solidFill>
            <w14:schemeClr w14:val="tx1">
              <w14:lumMod w14:val="85000"/>
              <w14:lumOff w14:val="15000"/>
            </w14:schemeClr>
          </w14:solidFill>
        </w14:textFill>
      </w:rPr>
      <w:t>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458525"/>
    <w:multiLevelType w:val="singleLevel"/>
    <w:tmpl w:val="D745852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41F3536C"/>
    <w:multiLevelType w:val="multilevel"/>
    <w:tmpl w:val="41F3536C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>
    <w:nsid w:val="485B19FB"/>
    <w:multiLevelType w:val="multilevel"/>
    <w:tmpl w:val="485B19FB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6B0C4DE1"/>
    <w:multiLevelType w:val="singleLevel"/>
    <w:tmpl w:val="6B0C4DE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80E"/>
    <w:rsid w:val="00001A3E"/>
    <w:rsid w:val="00002B08"/>
    <w:rsid w:val="000212D5"/>
    <w:rsid w:val="000272FB"/>
    <w:rsid w:val="0003594A"/>
    <w:rsid w:val="00035A45"/>
    <w:rsid w:val="00037370"/>
    <w:rsid w:val="00041860"/>
    <w:rsid w:val="00045787"/>
    <w:rsid w:val="00046D8B"/>
    <w:rsid w:val="00050AD5"/>
    <w:rsid w:val="00053ED2"/>
    <w:rsid w:val="0005747E"/>
    <w:rsid w:val="00057511"/>
    <w:rsid w:val="00070E58"/>
    <w:rsid w:val="00071BA3"/>
    <w:rsid w:val="00080101"/>
    <w:rsid w:val="000812F2"/>
    <w:rsid w:val="00083094"/>
    <w:rsid w:val="00086C76"/>
    <w:rsid w:val="00090973"/>
    <w:rsid w:val="000948E3"/>
    <w:rsid w:val="00095EB9"/>
    <w:rsid w:val="000B4D55"/>
    <w:rsid w:val="000B4EFD"/>
    <w:rsid w:val="000D103C"/>
    <w:rsid w:val="000E31D1"/>
    <w:rsid w:val="000F7450"/>
    <w:rsid w:val="00106A53"/>
    <w:rsid w:val="001126ED"/>
    <w:rsid w:val="001167A4"/>
    <w:rsid w:val="00123DAB"/>
    <w:rsid w:val="001419F1"/>
    <w:rsid w:val="001434DF"/>
    <w:rsid w:val="00160B71"/>
    <w:rsid w:val="00167741"/>
    <w:rsid w:val="001717F0"/>
    <w:rsid w:val="0019512F"/>
    <w:rsid w:val="001A06A9"/>
    <w:rsid w:val="001A0AC8"/>
    <w:rsid w:val="001A12D2"/>
    <w:rsid w:val="001A1401"/>
    <w:rsid w:val="001A1414"/>
    <w:rsid w:val="001A280E"/>
    <w:rsid w:val="001A6693"/>
    <w:rsid w:val="001B7925"/>
    <w:rsid w:val="001C74F3"/>
    <w:rsid w:val="001D1930"/>
    <w:rsid w:val="001E221D"/>
    <w:rsid w:val="001E3769"/>
    <w:rsid w:val="001E4C67"/>
    <w:rsid w:val="001F074F"/>
    <w:rsid w:val="00201AB5"/>
    <w:rsid w:val="002035A2"/>
    <w:rsid w:val="00211AB7"/>
    <w:rsid w:val="00214A0A"/>
    <w:rsid w:val="00224EB3"/>
    <w:rsid w:val="0023230A"/>
    <w:rsid w:val="002353BD"/>
    <w:rsid w:val="00237E01"/>
    <w:rsid w:val="002407A5"/>
    <w:rsid w:val="00241E69"/>
    <w:rsid w:val="00244EA3"/>
    <w:rsid w:val="00252AC8"/>
    <w:rsid w:val="00271A7F"/>
    <w:rsid w:val="00274317"/>
    <w:rsid w:val="00284751"/>
    <w:rsid w:val="002915F9"/>
    <w:rsid w:val="0029326A"/>
    <w:rsid w:val="0029424B"/>
    <w:rsid w:val="00295AF3"/>
    <w:rsid w:val="002A5917"/>
    <w:rsid w:val="002A7B23"/>
    <w:rsid w:val="002A7E59"/>
    <w:rsid w:val="002B2B71"/>
    <w:rsid w:val="002B357C"/>
    <w:rsid w:val="002C10F3"/>
    <w:rsid w:val="002C1C9A"/>
    <w:rsid w:val="002C615C"/>
    <w:rsid w:val="002D2CF2"/>
    <w:rsid w:val="002D4C63"/>
    <w:rsid w:val="002E22C4"/>
    <w:rsid w:val="002E2A0E"/>
    <w:rsid w:val="002E44A9"/>
    <w:rsid w:val="002F2D8B"/>
    <w:rsid w:val="00304EDD"/>
    <w:rsid w:val="00317550"/>
    <w:rsid w:val="00321FD8"/>
    <w:rsid w:val="003245EA"/>
    <w:rsid w:val="00325572"/>
    <w:rsid w:val="003329FC"/>
    <w:rsid w:val="00337F57"/>
    <w:rsid w:val="00341539"/>
    <w:rsid w:val="003415AB"/>
    <w:rsid w:val="003534B2"/>
    <w:rsid w:val="0035520F"/>
    <w:rsid w:val="0036348B"/>
    <w:rsid w:val="003721D4"/>
    <w:rsid w:val="003760C6"/>
    <w:rsid w:val="00376B46"/>
    <w:rsid w:val="00393019"/>
    <w:rsid w:val="003A32DE"/>
    <w:rsid w:val="003A5624"/>
    <w:rsid w:val="003A6782"/>
    <w:rsid w:val="003B0AE0"/>
    <w:rsid w:val="003C257F"/>
    <w:rsid w:val="003D3B43"/>
    <w:rsid w:val="003D604A"/>
    <w:rsid w:val="003E46A5"/>
    <w:rsid w:val="003E4D6F"/>
    <w:rsid w:val="003F7BED"/>
    <w:rsid w:val="00400DB4"/>
    <w:rsid w:val="004259B1"/>
    <w:rsid w:val="00435462"/>
    <w:rsid w:val="00435A9F"/>
    <w:rsid w:val="00444A8E"/>
    <w:rsid w:val="0044535F"/>
    <w:rsid w:val="004479AF"/>
    <w:rsid w:val="00455DAC"/>
    <w:rsid w:val="00456B93"/>
    <w:rsid w:val="00460D74"/>
    <w:rsid w:val="00470B43"/>
    <w:rsid w:val="00471924"/>
    <w:rsid w:val="00472955"/>
    <w:rsid w:val="00474336"/>
    <w:rsid w:val="00477827"/>
    <w:rsid w:val="004810F4"/>
    <w:rsid w:val="00487F35"/>
    <w:rsid w:val="004903AA"/>
    <w:rsid w:val="00490F26"/>
    <w:rsid w:val="00496452"/>
    <w:rsid w:val="004A14A9"/>
    <w:rsid w:val="004A4D4D"/>
    <w:rsid w:val="004A6A47"/>
    <w:rsid w:val="004B18D2"/>
    <w:rsid w:val="004B5D45"/>
    <w:rsid w:val="004C7066"/>
    <w:rsid w:val="004D1290"/>
    <w:rsid w:val="004D4C42"/>
    <w:rsid w:val="004D60E1"/>
    <w:rsid w:val="004D7A0D"/>
    <w:rsid w:val="004E5F4B"/>
    <w:rsid w:val="004F244A"/>
    <w:rsid w:val="00511FE9"/>
    <w:rsid w:val="00512BC6"/>
    <w:rsid w:val="00515711"/>
    <w:rsid w:val="00526CA2"/>
    <w:rsid w:val="005316AE"/>
    <w:rsid w:val="0053555A"/>
    <w:rsid w:val="00535848"/>
    <w:rsid w:val="005430F1"/>
    <w:rsid w:val="00550C36"/>
    <w:rsid w:val="00551DE8"/>
    <w:rsid w:val="005531CE"/>
    <w:rsid w:val="0056440E"/>
    <w:rsid w:val="00567585"/>
    <w:rsid w:val="00572C77"/>
    <w:rsid w:val="00573CE5"/>
    <w:rsid w:val="00575D8F"/>
    <w:rsid w:val="005909C7"/>
    <w:rsid w:val="005A084C"/>
    <w:rsid w:val="005A5439"/>
    <w:rsid w:val="005B29B1"/>
    <w:rsid w:val="005B2B1C"/>
    <w:rsid w:val="005C60FA"/>
    <w:rsid w:val="005C687A"/>
    <w:rsid w:val="005C6E54"/>
    <w:rsid w:val="005D317A"/>
    <w:rsid w:val="005E1525"/>
    <w:rsid w:val="005E4AF2"/>
    <w:rsid w:val="005E5EBB"/>
    <w:rsid w:val="005E7F2F"/>
    <w:rsid w:val="005F5742"/>
    <w:rsid w:val="005F7712"/>
    <w:rsid w:val="00602BBD"/>
    <w:rsid w:val="00606B73"/>
    <w:rsid w:val="00615F35"/>
    <w:rsid w:val="00624494"/>
    <w:rsid w:val="00625256"/>
    <w:rsid w:val="00632780"/>
    <w:rsid w:val="00634B7A"/>
    <w:rsid w:val="006353CF"/>
    <w:rsid w:val="00636FC2"/>
    <w:rsid w:val="00643524"/>
    <w:rsid w:val="00643DD4"/>
    <w:rsid w:val="00645F16"/>
    <w:rsid w:val="006506E8"/>
    <w:rsid w:val="00654C42"/>
    <w:rsid w:val="00671027"/>
    <w:rsid w:val="00681638"/>
    <w:rsid w:val="00681F00"/>
    <w:rsid w:val="00683BAA"/>
    <w:rsid w:val="00690EFF"/>
    <w:rsid w:val="006A06E4"/>
    <w:rsid w:val="006A3B8C"/>
    <w:rsid w:val="006A6BBF"/>
    <w:rsid w:val="006B432F"/>
    <w:rsid w:val="006B6481"/>
    <w:rsid w:val="006D0685"/>
    <w:rsid w:val="006E0AB0"/>
    <w:rsid w:val="006E5082"/>
    <w:rsid w:val="006E5C69"/>
    <w:rsid w:val="006E7DCB"/>
    <w:rsid w:val="006F3729"/>
    <w:rsid w:val="00704BB8"/>
    <w:rsid w:val="007056C1"/>
    <w:rsid w:val="007076A8"/>
    <w:rsid w:val="007129D0"/>
    <w:rsid w:val="00716C34"/>
    <w:rsid w:val="00722345"/>
    <w:rsid w:val="00736231"/>
    <w:rsid w:val="00750DC1"/>
    <w:rsid w:val="00754DAF"/>
    <w:rsid w:val="0075702F"/>
    <w:rsid w:val="00760EE2"/>
    <w:rsid w:val="00781E5D"/>
    <w:rsid w:val="00790078"/>
    <w:rsid w:val="00793837"/>
    <w:rsid w:val="00793FF6"/>
    <w:rsid w:val="007B2C35"/>
    <w:rsid w:val="007B4F25"/>
    <w:rsid w:val="007B6C72"/>
    <w:rsid w:val="007B6CE1"/>
    <w:rsid w:val="007C160E"/>
    <w:rsid w:val="007C79CC"/>
    <w:rsid w:val="007D2556"/>
    <w:rsid w:val="007D3CD7"/>
    <w:rsid w:val="007D4245"/>
    <w:rsid w:val="007D459B"/>
    <w:rsid w:val="007D6117"/>
    <w:rsid w:val="007D7638"/>
    <w:rsid w:val="007F06F4"/>
    <w:rsid w:val="007F1E15"/>
    <w:rsid w:val="007F3DD7"/>
    <w:rsid w:val="007F4D3E"/>
    <w:rsid w:val="0080382D"/>
    <w:rsid w:val="00805EF5"/>
    <w:rsid w:val="00807D13"/>
    <w:rsid w:val="00810A45"/>
    <w:rsid w:val="00812B68"/>
    <w:rsid w:val="0081693C"/>
    <w:rsid w:val="00821251"/>
    <w:rsid w:val="00827143"/>
    <w:rsid w:val="00833ACE"/>
    <w:rsid w:val="00841A1B"/>
    <w:rsid w:val="00843F24"/>
    <w:rsid w:val="00844ADB"/>
    <w:rsid w:val="00845658"/>
    <w:rsid w:val="008467F5"/>
    <w:rsid w:val="008507B1"/>
    <w:rsid w:val="00856E59"/>
    <w:rsid w:val="008603B4"/>
    <w:rsid w:val="00862EC1"/>
    <w:rsid w:val="0086757F"/>
    <w:rsid w:val="0087476B"/>
    <w:rsid w:val="00880DA9"/>
    <w:rsid w:val="00882CB3"/>
    <w:rsid w:val="00884042"/>
    <w:rsid w:val="00887C64"/>
    <w:rsid w:val="008A2A65"/>
    <w:rsid w:val="008A5090"/>
    <w:rsid w:val="008A7781"/>
    <w:rsid w:val="008B5328"/>
    <w:rsid w:val="008B6512"/>
    <w:rsid w:val="008C0DD9"/>
    <w:rsid w:val="008C256A"/>
    <w:rsid w:val="008D25E0"/>
    <w:rsid w:val="008E09D1"/>
    <w:rsid w:val="008E2C67"/>
    <w:rsid w:val="008E6DCF"/>
    <w:rsid w:val="008F3CF1"/>
    <w:rsid w:val="009000B8"/>
    <w:rsid w:val="00900944"/>
    <w:rsid w:val="009240D3"/>
    <w:rsid w:val="00925FC3"/>
    <w:rsid w:val="009267B3"/>
    <w:rsid w:val="00930281"/>
    <w:rsid w:val="009309F2"/>
    <w:rsid w:val="009317D8"/>
    <w:rsid w:val="009321EA"/>
    <w:rsid w:val="0093523E"/>
    <w:rsid w:val="00935C0E"/>
    <w:rsid w:val="00935EF6"/>
    <w:rsid w:val="00936655"/>
    <w:rsid w:val="009430F8"/>
    <w:rsid w:val="00944D9F"/>
    <w:rsid w:val="0094701C"/>
    <w:rsid w:val="0094786D"/>
    <w:rsid w:val="00947DD2"/>
    <w:rsid w:val="00955A7C"/>
    <w:rsid w:val="00960EDE"/>
    <w:rsid w:val="00973BE0"/>
    <w:rsid w:val="00973F76"/>
    <w:rsid w:val="00975DCD"/>
    <w:rsid w:val="00976E70"/>
    <w:rsid w:val="009772EE"/>
    <w:rsid w:val="00994FDC"/>
    <w:rsid w:val="00995987"/>
    <w:rsid w:val="009A2444"/>
    <w:rsid w:val="009A2C3F"/>
    <w:rsid w:val="009A4619"/>
    <w:rsid w:val="009A500B"/>
    <w:rsid w:val="009B5944"/>
    <w:rsid w:val="009B6932"/>
    <w:rsid w:val="009C1D36"/>
    <w:rsid w:val="009E454B"/>
    <w:rsid w:val="009F00D3"/>
    <w:rsid w:val="00A159E2"/>
    <w:rsid w:val="00A16732"/>
    <w:rsid w:val="00A203C7"/>
    <w:rsid w:val="00A20515"/>
    <w:rsid w:val="00A22F5F"/>
    <w:rsid w:val="00A26A8D"/>
    <w:rsid w:val="00A3055A"/>
    <w:rsid w:val="00A32895"/>
    <w:rsid w:val="00A364AB"/>
    <w:rsid w:val="00A52A6D"/>
    <w:rsid w:val="00A62F47"/>
    <w:rsid w:val="00A6659D"/>
    <w:rsid w:val="00A71706"/>
    <w:rsid w:val="00A74C4F"/>
    <w:rsid w:val="00A90A77"/>
    <w:rsid w:val="00AA0B55"/>
    <w:rsid w:val="00AA7F56"/>
    <w:rsid w:val="00AB4648"/>
    <w:rsid w:val="00AB507D"/>
    <w:rsid w:val="00AB65A3"/>
    <w:rsid w:val="00AB7017"/>
    <w:rsid w:val="00AC343A"/>
    <w:rsid w:val="00AC44FC"/>
    <w:rsid w:val="00AC7FA5"/>
    <w:rsid w:val="00AD4F39"/>
    <w:rsid w:val="00AD629A"/>
    <w:rsid w:val="00AD647A"/>
    <w:rsid w:val="00AE1B60"/>
    <w:rsid w:val="00AE37E4"/>
    <w:rsid w:val="00AE405A"/>
    <w:rsid w:val="00AE4EC3"/>
    <w:rsid w:val="00AE57BD"/>
    <w:rsid w:val="00AE669C"/>
    <w:rsid w:val="00AF2160"/>
    <w:rsid w:val="00AF3462"/>
    <w:rsid w:val="00AF5667"/>
    <w:rsid w:val="00AF6C94"/>
    <w:rsid w:val="00B05698"/>
    <w:rsid w:val="00B13F6B"/>
    <w:rsid w:val="00B159B5"/>
    <w:rsid w:val="00B17D19"/>
    <w:rsid w:val="00B33BCF"/>
    <w:rsid w:val="00B429B3"/>
    <w:rsid w:val="00B43E64"/>
    <w:rsid w:val="00B449CB"/>
    <w:rsid w:val="00B50F93"/>
    <w:rsid w:val="00B548CF"/>
    <w:rsid w:val="00B610E6"/>
    <w:rsid w:val="00B6174E"/>
    <w:rsid w:val="00B62ADC"/>
    <w:rsid w:val="00B63F82"/>
    <w:rsid w:val="00B6548F"/>
    <w:rsid w:val="00B6725A"/>
    <w:rsid w:val="00B729EC"/>
    <w:rsid w:val="00B742A6"/>
    <w:rsid w:val="00B76BC0"/>
    <w:rsid w:val="00B83CF2"/>
    <w:rsid w:val="00B83D8B"/>
    <w:rsid w:val="00B867FD"/>
    <w:rsid w:val="00B96B77"/>
    <w:rsid w:val="00BA0B32"/>
    <w:rsid w:val="00BA1D63"/>
    <w:rsid w:val="00BA34DC"/>
    <w:rsid w:val="00BA5D8C"/>
    <w:rsid w:val="00BA5EBF"/>
    <w:rsid w:val="00BB01CE"/>
    <w:rsid w:val="00BB4410"/>
    <w:rsid w:val="00BB759E"/>
    <w:rsid w:val="00BB7927"/>
    <w:rsid w:val="00BC2B3D"/>
    <w:rsid w:val="00BC6ED0"/>
    <w:rsid w:val="00BC726D"/>
    <w:rsid w:val="00BD14DF"/>
    <w:rsid w:val="00BE0D0D"/>
    <w:rsid w:val="00BE2F27"/>
    <w:rsid w:val="00BE3B76"/>
    <w:rsid w:val="00BF1F2D"/>
    <w:rsid w:val="00BF6281"/>
    <w:rsid w:val="00C01C21"/>
    <w:rsid w:val="00C069DB"/>
    <w:rsid w:val="00C1248C"/>
    <w:rsid w:val="00C12721"/>
    <w:rsid w:val="00C15A6C"/>
    <w:rsid w:val="00C24D5B"/>
    <w:rsid w:val="00C2550D"/>
    <w:rsid w:val="00C25E6B"/>
    <w:rsid w:val="00C277AF"/>
    <w:rsid w:val="00C27BCC"/>
    <w:rsid w:val="00C307F6"/>
    <w:rsid w:val="00C36B8C"/>
    <w:rsid w:val="00C376DE"/>
    <w:rsid w:val="00C460B5"/>
    <w:rsid w:val="00C4740C"/>
    <w:rsid w:val="00C508D8"/>
    <w:rsid w:val="00C52CEA"/>
    <w:rsid w:val="00C55172"/>
    <w:rsid w:val="00C555BE"/>
    <w:rsid w:val="00C63161"/>
    <w:rsid w:val="00C66E54"/>
    <w:rsid w:val="00C80524"/>
    <w:rsid w:val="00C8311C"/>
    <w:rsid w:val="00C841D4"/>
    <w:rsid w:val="00C91397"/>
    <w:rsid w:val="00CA46E3"/>
    <w:rsid w:val="00CB42C6"/>
    <w:rsid w:val="00CB5FA2"/>
    <w:rsid w:val="00CD2721"/>
    <w:rsid w:val="00CD5899"/>
    <w:rsid w:val="00CD71E9"/>
    <w:rsid w:val="00CD7363"/>
    <w:rsid w:val="00CF2C21"/>
    <w:rsid w:val="00CF445E"/>
    <w:rsid w:val="00D10D5C"/>
    <w:rsid w:val="00D13C2B"/>
    <w:rsid w:val="00D15F67"/>
    <w:rsid w:val="00D22FEF"/>
    <w:rsid w:val="00D24848"/>
    <w:rsid w:val="00D2670E"/>
    <w:rsid w:val="00D325B8"/>
    <w:rsid w:val="00D33436"/>
    <w:rsid w:val="00D430E4"/>
    <w:rsid w:val="00D44504"/>
    <w:rsid w:val="00D44E2A"/>
    <w:rsid w:val="00D5221C"/>
    <w:rsid w:val="00D53C20"/>
    <w:rsid w:val="00D5693D"/>
    <w:rsid w:val="00D64D03"/>
    <w:rsid w:val="00D65F27"/>
    <w:rsid w:val="00D66A8E"/>
    <w:rsid w:val="00D6763F"/>
    <w:rsid w:val="00D74DC9"/>
    <w:rsid w:val="00D94768"/>
    <w:rsid w:val="00D97B46"/>
    <w:rsid w:val="00DA11D2"/>
    <w:rsid w:val="00DA12D8"/>
    <w:rsid w:val="00DA223C"/>
    <w:rsid w:val="00DA6DDE"/>
    <w:rsid w:val="00DB4AB1"/>
    <w:rsid w:val="00DB7CAF"/>
    <w:rsid w:val="00DC0324"/>
    <w:rsid w:val="00DD0165"/>
    <w:rsid w:val="00DD20BA"/>
    <w:rsid w:val="00DD3432"/>
    <w:rsid w:val="00DD5907"/>
    <w:rsid w:val="00DE00FE"/>
    <w:rsid w:val="00DE0335"/>
    <w:rsid w:val="00DE79C0"/>
    <w:rsid w:val="00DF3489"/>
    <w:rsid w:val="00DF5F35"/>
    <w:rsid w:val="00DF6DE7"/>
    <w:rsid w:val="00E0054A"/>
    <w:rsid w:val="00E00907"/>
    <w:rsid w:val="00E02767"/>
    <w:rsid w:val="00E13BAA"/>
    <w:rsid w:val="00E156BF"/>
    <w:rsid w:val="00E25B61"/>
    <w:rsid w:val="00E2643C"/>
    <w:rsid w:val="00E34467"/>
    <w:rsid w:val="00E35B96"/>
    <w:rsid w:val="00E360F2"/>
    <w:rsid w:val="00E36F63"/>
    <w:rsid w:val="00E4035F"/>
    <w:rsid w:val="00E4768B"/>
    <w:rsid w:val="00E50CCA"/>
    <w:rsid w:val="00E52906"/>
    <w:rsid w:val="00E5522E"/>
    <w:rsid w:val="00E56597"/>
    <w:rsid w:val="00E6458F"/>
    <w:rsid w:val="00E706BC"/>
    <w:rsid w:val="00E74C27"/>
    <w:rsid w:val="00E8691C"/>
    <w:rsid w:val="00E90262"/>
    <w:rsid w:val="00E931E6"/>
    <w:rsid w:val="00E940A2"/>
    <w:rsid w:val="00E95C7B"/>
    <w:rsid w:val="00EA003E"/>
    <w:rsid w:val="00EA3E41"/>
    <w:rsid w:val="00EA4258"/>
    <w:rsid w:val="00EB069F"/>
    <w:rsid w:val="00EB48B3"/>
    <w:rsid w:val="00EB6B98"/>
    <w:rsid w:val="00EB788C"/>
    <w:rsid w:val="00EE0981"/>
    <w:rsid w:val="00EE149B"/>
    <w:rsid w:val="00EE3A5E"/>
    <w:rsid w:val="00EF4906"/>
    <w:rsid w:val="00EF5BB5"/>
    <w:rsid w:val="00EF7C53"/>
    <w:rsid w:val="00F04FE0"/>
    <w:rsid w:val="00F05FD8"/>
    <w:rsid w:val="00F07ED5"/>
    <w:rsid w:val="00F170BC"/>
    <w:rsid w:val="00F25E8D"/>
    <w:rsid w:val="00F266CE"/>
    <w:rsid w:val="00F3581E"/>
    <w:rsid w:val="00F408B0"/>
    <w:rsid w:val="00F47AB2"/>
    <w:rsid w:val="00F612B6"/>
    <w:rsid w:val="00F61E4F"/>
    <w:rsid w:val="00F648DA"/>
    <w:rsid w:val="00F67E8B"/>
    <w:rsid w:val="00F72822"/>
    <w:rsid w:val="00F90E72"/>
    <w:rsid w:val="00F939F0"/>
    <w:rsid w:val="00F96A98"/>
    <w:rsid w:val="00FA1D0F"/>
    <w:rsid w:val="00FA2069"/>
    <w:rsid w:val="00FA594A"/>
    <w:rsid w:val="00FA63E3"/>
    <w:rsid w:val="00FB6E19"/>
    <w:rsid w:val="00FC6354"/>
    <w:rsid w:val="00FC7251"/>
    <w:rsid w:val="00FD63C1"/>
    <w:rsid w:val="00FE5131"/>
    <w:rsid w:val="00FF0963"/>
    <w:rsid w:val="00FF3B77"/>
    <w:rsid w:val="00FF4415"/>
    <w:rsid w:val="00FF4AB0"/>
    <w:rsid w:val="00FF64BA"/>
    <w:rsid w:val="00FF6D59"/>
    <w:rsid w:val="01C339E8"/>
    <w:rsid w:val="03A85B64"/>
    <w:rsid w:val="0ABF1C30"/>
    <w:rsid w:val="1173767A"/>
    <w:rsid w:val="193F10E0"/>
    <w:rsid w:val="1D4D42BE"/>
    <w:rsid w:val="24080AD1"/>
    <w:rsid w:val="2B5748BC"/>
    <w:rsid w:val="2D7659A4"/>
    <w:rsid w:val="30666351"/>
    <w:rsid w:val="45F26545"/>
    <w:rsid w:val="4CEB1EDB"/>
    <w:rsid w:val="4DEE25E6"/>
    <w:rsid w:val="5A566A80"/>
    <w:rsid w:val="5BF967FE"/>
    <w:rsid w:val="607770CC"/>
    <w:rsid w:val="6AF52E09"/>
    <w:rsid w:val="711B06E9"/>
    <w:rsid w:val="73363E0A"/>
    <w:rsid w:val="74C11288"/>
    <w:rsid w:val="777E16AD"/>
    <w:rsid w:val="78FA6BE2"/>
    <w:rsid w:val="7FE6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9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18"/>
    <w:semiHidden/>
    <w:unhideWhenUsed/>
    <w:qFormat/>
    <w:uiPriority w:val="99"/>
    <w:pPr>
      <w:widowControl w:val="0"/>
      <w:spacing w:after="0" w:line="240" w:lineRule="auto"/>
    </w:pPr>
    <w:rPr>
      <w:kern w:val="2"/>
      <w:sz w:val="21"/>
    </w:rPr>
  </w:style>
  <w:style w:type="paragraph" w:styleId="6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paragraph" w:styleId="7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3">
    <w:name w:val="annotation reference"/>
    <w:basedOn w:val="11"/>
    <w:semiHidden/>
    <w:unhideWhenUsed/>
    <w:qFormat/>
    <w:uiPriority w:val="99"/>
    <w:rPr>
      <w:sz w:val="21"/>
      <w:szCs w:val="21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页眉 字符"/>
    <w:basedOn w:val="11"/>
    <w:link w:val="8"/>
    <w:qFormat/>
    <w:uiPriority w:val="99"/>
    <w:rPr>
      <w:sz w:val="18"/>
      <w:szCs w:val="18"/>
    </w:rPr>
  </w:style>
  <w:style w:type="character" w:customStyle="1" w:styleId="16">
    <w:name w:val="页脚 字符"/>
    <w:basedOn w:val="11"/>
    <w:link w:val="7"/>
    <w:qFormat/>
    <w:uiPriority w:val="99"/>
    <w:rPr>
      <w:sz w:val="18"/>
      <w:szCs w:val="18"/>
    </w:rPr>
  </w:style>
  <w:style w:type="paragraph" w:styleId="17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8">
    <w:name w:val="批注文字 字符"/>
    <w:basedOn w:val="11"/>
    <w:link w:val="5"/>
    <w:semiHidden/>
    <w:qFormat/>
    <w:uiPriority w:val="99"/>
  </w:style>
  <w:style w:type="character" w:customStyle="1" w:styleId="19">
    <w:name w:val="批注框文本 字符"/>
    <w:basedOn w:val="11"/>
    <w:link w:val="6"/>
    <w:semiHidden/>
    <w:qFormat/>
    <w:uiPriority w:val="99"/>
    <w:rPr>
      <w:kern w:val="0"/>
      <w:sz w:val="18"/>
      <w:szCs w:val="18"/>
    </w:rPr>
  </w:style>
  <w:style w:type="character" w:customStyle="1" w:styleId="20">
    <w:name w:val="font41"/>
    <w:basedOn w:val="11"/>
    <w:qFormat/>
    <w:uiPriority w:val="0"/>
    <w:rPr>
      <w:rFonts w:hint="eastAsia" w:ascii="微软雅黑" w:hAnsi="微软雅黑" w:eastAsia="微软雅黑" w:cs="微软雅黑"/>
      <w:color w:val="000000"/>
      <w:sz w:val="18"/>
      <w:szCs w:val="18"/>
      <w:u w:val="none"/>
    </w:rPr>
  </w:style>
  <w:style w:type="character" w:customStyle="1" w:styleId="21">
    <w:name w:val="font51"/>
    <w:basedOn w:val="11"/>
    <w:qFormat/>
    <w:uiPriority w:val="0"/>
    <w:rPr>
      <w:rFonts w:hint="eastAsia" w:ascii="微软雅黑" w:hAnsi="微软雅黑" w:eastAsia="微软雅黑" w:cs="微软雅黑"/>
      <w:color w:val="FF0000"/>
      <w:sz w:val="18"/>
      <w:szCs w:val="18"/>
      <w:u w:val="none"/>
    </w:rPr>
  </w:style>
  <w:style w:type="character" w:customStyle="1" w:styleId="22">
    <w:name w:val="font21"/>
    <w:basedOn w:val="11"/>
    <w:qFormat/>
    <w:uiPriority w:val="0"/>
    <w:rPr>
      <w:rFonts w:hint="eastAsia" w:ascii="微软雅黑" w:hAnsi="微软雅黑" w:eastAsia="微软雅黑" w:cs="微软雅黑"/>
      <w:color w:val="FF0000"/>
      <w:sz w:val="18"/>
      <w:szCs w:val="18"/>
      <w:u w:val="none"/>
    </w:rPr>
  </w:style>
  <w:style w:type="character" w:customStyle="1" w:styleId="23">
    <w:name w:val="font11"/>
    <w:basedOn w:val="11"/>
    <w:qFormat/>
    <w:uiPriority w:val="0"/>
    <w:rPr>
      <w:rFonts w:hint="eastAsia" w:ascii="微软雅黑" w:hAnsi="微软雅黑" w:eastAsia="微软雅黑" w:cs="微软雅黑"/>
      <w:color w:val="000000"/>
      <w:sz w:val="18"/>
      <w:szCs w:val="18"/>
      <w:u w:val="none"/>
    </w:rPr>
  </w:style>
  <w:style w:type="character" w:customStyle="1" w:styleId="24">
    <w:name w:val="font31"/>
    <w:basedOn w:val="11"/>
    <w:qFormat/>
    <w:uiPriority w:val="0"/>
    <w:rPr>
      <w:rFonts w:hint="eastAsia" w:ascii="微软雅黑" w:hAnsi="微软雅黑" w:eastAsia="微软雅黑" w:cs="微软雅黑"/>
      <w:color w:val="000000"/>
      <w:sz w:val="18"/>
      <w:szCs w:val="18"/>
      <w:u w:val="none"/>
    </w:rPr>
  </w:style>
  <w:style w:type="character" w:customStyle="1" w:styleId="25">
    <w:name w:val="emailstyle15"/>
    <w:basedOn w:val="11"/>
    <w:qFormat/>
    <w:uiPriority w:val="0"/>
    <w:rPr>
      <w:rFonts w:hint="eastAsia" w:ascii="等线" w:hAnsi="等线" w:eastAsia="等线" w:cs="Times New Roman"/>
      <w:color w:val="auto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cid:image001.png@01D7AD67.9445862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ABDAEB7-7ADD-4C45-BC5E-8034A2C86DF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Qihoo360</Company>
  <Pages>5</Pages>
  <Words>1279</Words>
  <Characters>1300</Characters>
  <Lines>12</Lines>
  <Paragraphs>3</Paragraphs>
  <TotalTime>357</TotalTime>
  <ScaleCrop>false</ScaleCrop>
  <LinksUpToDate>false</LinksUpToDate>
  <CharactersWithSpaces>1304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2026-01-09T03:28:00Z</dcterms:created>
  <dc:creator>蔡雨彤</dc:creator>
  <cp:lastModifiedBy>WPS_1655803554</cp:lastModifiedBy>
  <dcterms:modified xsi:type="dcterms:W3CDTF">2026-01-28T06:14:17Z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eyJoZGlkIjoiNTQxZDc3Y2ExYWQyOTUwOGZhYzM4MTU1Nzk0YWZkMDAiLCJ1c2VySWQiOiIxMzg3NTE5ODY0In0=</vt:lpwstr>
  </property>
  <property fmtid="{D5CDD505-2E9C-101B-9397-08002B2CF9AE}" pid="3" name="KSOProductBuildVer">
    <vt:lpwstr>2052-12.1.0.24657</vt:lpwstr>
  </property>
  <property fmtid="{D5CDD505-2E9C-101B-9397-08002B2CF9AE}" pid="4" name="ICV">
    <vt:lpwstr>BE955FC96004460289F63895E7E4FCA4_13</vt:lpwstr>
  </property>
</Properties>
</file>