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E6D73">
      <w:pPr>
        <w:jc w:val="center"/>
        <w:rPr>
          <w:rFonts w:ascii="微软雅黑" w:hAnsi="微软雅黑" w:eastAsia="微软雅黑"/>
          <w:b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行业群组销售体系业务操作手册</w:t>
      </w:r>
    </w:p>
    <w:p w14:paraId="076F9BF4">
      <w:pPr>
        <w:rPr>
          <w:rFonts w:ascii="微软雅黑" w:hAnsi="微软雅黑" w:eastAsia="微软雅黑"/>
        </w:rPr>
      </w:pPr>
    </w:p>
    <w:p w14:paraId="137F95B6">
      <w:pPr>
        <w:pStyle w:val="2"/>
        <w:jc w:val="center"/>
        <w:rPr>
          <w:rFonts w:ascii="微软雅黑" w:hAnsi="微软雅黑" w:eastAsia="微软雅黑"/>
          <w:sz w:val="24"/>
          <w:szCs w:val="24"/>
        </w:rPr>
      </w:pPr>
      <w:bookmarkStart w:id="0" w:name="_Toc181965846"/>
      <w:r>
        <w:rPr>
          <w:rFonts w:hint="eastAsia" w:ascii="微软雅黑" w:hAnsi="微软雅黑" w:eastAsia="微软雅黑"/>
          <w:sz w:val="24"/>
          <w:szCs w:val="24"/>
        </w:rPr>
        <w:t>一、客户开发</w:t>
      </w:r>
      <w:bookmarkEnd w:id="0"/>
    </w:p>
    <w:p w14:paraId="62FB0B73">
      <w:pPr>
        <w:rPr>
          <w:rFonts w:ascii="微软雅黑" w:hAnsi="微软雅黑" w:eastAsia="微软雅黑"/>
          <w:sz w:val="20"/>
        </w:rPr>
      </w:pPr>
      <w:r>
        <w:rPr>
          <w:rFonts w:hint="eastAsia" w:ascii="微软雅黑" w:hAnsi="微软雅黑" w:eastAsia="微软雅黑"/>
          <w:sz w:val="20"/>
        </w:rPr>
        <w:t>由于各业务线的下单模式不同，销售归属具体按以下规则执行：</w:t>
      </w:r>
    </w:p>
    <w:p w14:paraId="53F327A6">
      <w:pPr>
        <w:spacing w:line="360" w:lineRule="auto"/>
        <w:rPr>
          <w:rFonts w:ascii="微软雅黑" w:hAnsi="微软雅黑" w:eastAsia="微软雅黑"/>
          <w:sz w:val="20"/>
        </w:rPr>
      </w:pPr>
      <w:r>
        <w:rPr>
          <w:rFonts w:hint="eastAsia" w:ascii="微软雅黑" w:hAnsi="微软雅黑" w:eastAsia="微软雅黑"/>
          <w:sz w:val="20"/>
        </w:rPr>
        <w:t>1）</w:t>
      </w:r>
      <w:r>
        <w:rPr>
          <w:rFonts w:ascii="微软雅黑" w:hAnsi="微软雅黑" w:eastAsia="微软雅黑"/>
          <w:sz w:val="20"/>
        </w:rPr>
        <w:t>KA-CRM</w:t>
      </w:r>
      <w:r>
        <w:rPr>
          <w:rFonts w:hint="eastAsia" w:ascii="微软雅黑" w:hAnsi="微软雅黑" w:eastAsia="微软雅黑"/>
          <w:sz w:val="20"/>
        </w:rPr>
        <w:t>系统内审核通过的新客户，默认归属当前跟进销售；</w:t>
      </w:r>
    </w:p>
    <w:p w14:paraId="3244E239">
      <w:pPr>
        <w:spacing w:line="360" w:lineRule="auto"/>
        <w:rPr>
          <w:rFonts w:ascii="微软雅黑" w:hAnsi="微软雅黑" w:eastAsia="微软雅黑"/>
          <w:sz w:val="20"/>
        </w:rPr>
      </w:pPr>
      <w:r>
        <w:rPr>
          <w:rFonts w:hint="eastAsia" w:ascii="微软雅黑" w:hAnsi="微软雅黑" w:eastAsia="微软雅黑"/>
          <w:sz w:val="20"/>
        </w:rPr>
        <w:t>2）本地渠道下单的新客户，通过</w:t>
      </w:r>
      <w:r>
        <w:rPr>
          <w:rFonts w:ascii="微软雅黑" w:hAnsi="微软雅黑" w:eastAsia="微软雅黑"/>
          <w:sz w:val="20"/>
        </w:rPr>
        <w:t>ONE-CRM</w:t>
      </w:r>
      <w:r>
        <w:rPr>
          <w:rFonts w:hint="eastAsia" w:ascii="微软雅黑" w:hAnsi="微软雅黑" w:eastAsia="微软雅黑"/>
          <w:sz w:val="20"/>
        </w:rPr>
        <w:t>按点睛账户所属行业自动映射行业群组销售；以第一个产生消费的业务线销售归属为准。</w:t>
      </w:r>
    </w:p>
    <w:p w14:paraId="1B252C4C">
      <w:pPr>
        <w:spacing w:line="360" w:lineRule="auto"/>
        <w:rPr>
          <w:rFonts w:ascii="微软雅黑" w:hAnsi="微软雅黑" w:eastAsia="微软雅黑"/>
          <w:sz w:val="20"/>
        </w:rPr>
      </w:pPr>
      <w:r>
        <w:rPr>
          <w:rFonts w:hint="eastAsia" w:ascii="微软雅黑" w:hAnsi="微软雅黑" w:eastAsia="微软雅黑"/>
          <w:sz w:val="20"/>
        </w:rPr>
        <w:t>①若客户于C</w:t>
      </w:r>
      <w:r>
        <w:rPr>
          <w:rFonts w:ascii="微软雅黑" w:hAnsi="微软雅黑" w:eastAsia="微软雅黑"/>
          <w:sz w:val="20"/>
        </w:rPr>
        <w:t>PC</w:t>
      </w:r>
      <w:r>
        <w:rPr>
          <w:rFonts w:hint="eastAsia" w:ascii="微软雅黑" w:hAnsi="微软雅黑" w:eastAsia="微软雅黑"/>
          <w:sz w:val="20"/>
        </w:rPr>
        <w:t>先产生消费，则</w:t>
      </w:r>
      <w:r>
        <w:rPr>
          <w:rFonts w:hint="eastAsia" w:ascii="微软雅黑" w:hAnsi="微软雅黑" w:eastAsia="微软雅黑"/>
          <w:sz w:val="20"/>
          <w:szCs w:val="20"/>
        </w:rPr>
        <w:t>依据《本地渠道点睛行业归属划分对照表》</w:t>
      </w:r>
      <w:r>
        <w:rPr>
          <w:rFonts w:hint="eastAsia" w:ascii="微软雅黑" w:hAnsi="微软雅黑" w:eastAsia="微软雅黑"/>
          <w:sz w:val="20"/>
        </w:rPr>
        <w:t>按首开账户的点睛行业映射跟进销售。</w:t>
      </w:r>
    </w:p>
    <w:p w14:paraId="17A77329">
      <w:pPr>
        <w:spacing w:line="360" w:lineRule="auto"/>
        <w:rPr>
          <w:rFonts w:ascii="微软雅黑" w:hAnsi="微软雅黑" w:eastAsia="微软雅黑"/>
          <w:sz w:val="20"/>
        </w:rPr>
      </w:pPr>
      <w:r>
        <w:rPr>
          <w:rFonts w:hint="eastAsia" w:ascii="微软雅黑" w:hAnsi="微软雅黑" w:eastAsia="微软雅黑"/>
          <w:sz w:val="20"/>
        </w:rPr>
        <w:t>②若客户于</w:t>
      </w:r>
      <w:r>
        <w:rPr>
          <w:rFonts w:ascii="微软雅黑" w:hAnsi="微软雅黑" w:eastAsia="微软雅黑"/>
          <w:sz w:val="20"/>
        </w:rPr>
        <w:t>CPT</w:t>
      </w:r>
      <w:r>
        <w:rPr>
          <w:rFonts w:hint="eastAsia" w:ascii="微软雅黑" w:hAnsi="微软雅黑" w:eastAsia="微软雅黑"/>
          <w:sz w:val="20"/>
        </w:rPr>
        <w:t>（K</w:t>
      </w:r>
      <w:r>
        <w:rPr>
          <w:rFonts w:ascii="微软雅黑" w:hAnsi="微软雅黑" w:eastAsia="微软雅黑"/>
          <w:sz w:val="20"/>
        </w:rPr>
        <w:t>A-CRM</w:t>
      </w:r>
      <w:r>
        <w:rPr>
          <w:rFonts w:hint="eastAsia" w:ascii="微软雅黑" w:hAnsi="微软雅黑" w:eastAsia="微软雅黑"/>
          <w:sz w:val="20"/>
        </w:rPr>
        <w:t>录入）先产生消费，则默认归属当前跟进销售；若当前无跟进销售，则按广告主行业反向映射点睛行业匹配跟进销售；</w:t>
      </w:r>
    </w:p>
    <w:p w14:paraId="209F1CD8">
      <w:pPr>
        <w:pStyle w:val="3"/>
        <w:rPr>
          <w:rFonts w:ascii="微软雅黑" w:hAnsi="微软雅黑" w:eastAsia="微软雅黑"/>
          <w:sz w:val="22"/>
          <w:szCs w:val="22"/>
        </w:rPr>
      </w:pPr>
      <w:r>
        <w:rPr>
          <w:rFonts w:ascii="微软雅黑" w:hAnsi="微软雅黑" w:eastAsia="微软雅黑"/>
          <w:sz w:val="22"/>
          <w:szCs w:val="22"/>
        </w:rPr>
        <w:t>1</w:t>
      </w:r>
      <w:r>
        <w:rPr>
          <w:rFonts w:hint="eastAsia" w:ascii="微软雅黑" w:hAnsi="微软雅黑" w:eastAsia="微软雅黑"/>
          <w:sz w:val="22"/>
          <w:szCs w:val="22"/>
        </w:rPr>
        <w:t>.1</w:t>
      </w:r>
      <w:r>
        <w:rPr>
          <w:rFonts w:ascii="微软雅黑" w:hAnsi="微软雅黑" w:eastAsia="微软雅黑"/>
          <w:sz w:val="22"/>
          <w:szCs w:val="22"/>
        </w:rPr>
        <w:t xml:space="preserve"> </w:t>
      </w:r>
      <w:r>
        <w:rPr>
          <w:rFonts w:hint="eastAsia" w:ascii="微软雅黑" w:hAnsi="微软雅黑" w:eastAsia="微软雅黑"/>
          <w:sz w:val="22"/>
          <w:szCs w:val="22"/>
        </w:rPr>
        <w:t>广告主资料录入</w:t>
      </w:r>
    </w:p>
    <w:p w14:paraId="398D663B">
      <w:pPr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适用场景</w:t>
      </w:r>
      <w:r>
        <w:rPr>
          <w:rFonts w:hint="eastAsia" w:ascii="微软雅黑" w:hAnsi="微软雅黑" w:eastAsia="微软雅黑"/>
          <w:sz w:val="20"/>
          <w:szCs w:val="20"/>
        </w:rPr>
        <w:t>：依据客户开发规则，销售若跟进客户开发，需于K</w:t>
      </w:r>
      <w:r>
        <w:rPr>
          <w:rFonts w:ascii="微软雅黑" w:hAnsi="微软雅黑" w:eastAsia="微软雅黑"/>
          <w:sz w:val="20"/>
          <w:szCs w:val="20"/>
        </w:rPr>
        <w:t>A-CRM</w:t>
      </w:r>
      <w:r>
        <w:rPr>
          <w:rFonts w:hint="eastAsia" w:ascii="微软雅黑" w:hAnsi="微软雅黑" w:eastAsia="微软雅黑"/>
          <w:sz w:val="20"/>
          <w:szCs w:val="20"/>
        </w:rPr>
        <w:t>系统内录入广告主资料。</w:t>
      </w:r>
    </w:p>
    <w:p w14:paraId="528856CA">
      <w:pPr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行业群组销售需在K</w:t>
      </w:r>
      <w:r>
        <w:rPr>
          <w:rFonts w:ascii="微软雅黑" w:hAnsi="微软雅黑" w:eastAsia="微软雅黑"/>
          <w:sz w:val="20"/>
          <w:szCs w:val="20"/>
        </w:rPr>
        <w:t>A-CRM</w:t>
      </w:r>
      <w:r>
        <w:rPr>
          <w:rFonts w:hint="eastAsia" w:ascii="微软雅黑" w:hAnsi="微软雅黑" w:eastAsia="微软雅黑"/>
          <w:sz w:val="20"/>
          <w:szCs w:val="20"/>
        </w:rPr>
        <w:t>系统里先录入广告主资料（如遇委托推广情况，需上传相关证明，见附件一），待客户管理组审核通过，经由行业部l</w:t>
      </w:r>
      <w:r>
        <w:rPr>
          <w:rFonts w:ascii="微软雅黑" w:hAnsi="微软雅黑" w:eastAsia="微软雅黑"/>
          <w:sz w:val="20"/>
          <w:szCs w:val="20"/>
        </w:rPr>
        <w:t>eader</w:t>
      </w:r>
      <w:r>
        <w:rPr>
          <w:rFonts w:hint="eastAsia" w:ascii="微软雅黑" w:hAnsi="微软雅黑" w:eastAsia="微软雅黑"/>
          <w:sz w:val="20"/>
          <w:szCs w:val="20"/>
        </w:rPr>
        <w:t>分配后生成有效广告主资料。</w:t>
      </w:r>
    </w:p>
    <w:p w14:paraId="354FD417">
      <w:pPr>
        <w:pStyle w:val="42"/>
        <w:numPr>
          <w:ilvl w:val="0"/>
          <w:numId w:val="1"/>
        </w:numPr>
        <w:ind w:firstLineChars="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录入说明：需确保广告主名称录入正确，录入U</w:t>
      </w:r>
      <w:r>
        <w:rPr>
          <w:rFonts w:ascii="微软雅黑" w:hAnsi="微软雅黑" w:eastAsia="微软雅黑"/>
          <w:sz w:val="20"/>
          <w:szCs w:val="20"/>
        </w:rPr>
        <w:t>RL</w:t>
      </w:r>
      <w:r>
        <w:rPr>
          <w:rFonts w:hint="eastAsia" w:ascii="微软雅黑" w:hAnsi="微软雅黑" w:eastAsia="微软雅黑"/>
          <w:sz w:val="20"/>
          <w:szCs w:val="20"/>
        </w:rPr>
        <w:t>可打开，所属组别、所属区域、所属省市（需填写icp备案地域）。</w:t>
      </w:r>
    </w:p>
    <w:p w14:paraId="4D55A096">
      <w:pPr>
        <w:pStyle w:val="3"/>
        <w:rPr>
          <w:rFonts w:ascii="微软雅黑" w:hAnsi="微软雅黑" w:eastAsia="微软雅黑"/>
          <w:sz w:val="22"/>
          <w:szCs w:val="22"/>
        </w:rPr>
      </w:pPr>
      <w:r>
        <w:rPr>
          <w:rFonts w:ascii="微软雅黑" w:hAnsi="微软雅黑" w:eastAsia="微软雅黑"/>
          <w:sz w:val="22"/>
          <w:szCs w:val="22"/>
        </w:rPr>
        <w:t>1</w:t>
      </w:r>
      <w:r>
        <w:rPr>
          <w:rFonts w:hint="eastAsia" w:ascii="微软雅黑" w:hAnsi="微软雅黑" w:eastAsia="微软雅黑"/>
          <w:sz w:val="22"/>
          <w:szCs w:val="22"/>
        </w:rPr>
        <w:t>.</w:t>
      </w:r>
      <w:r>
        <w:rPr>
          <w:rFonts w:ascii="微软雅黑" w:hAnsi="微软雅黑" w:eastAsia="微软雅黑"/>
          <w:sz w:val="22"/>
          <w:szCs w:val="22"/>
        </w:rPr>
        <w:t xml:space="preserve">2 </w:t>
      </w:r>
      <w:r>
        <w:rPr>
          <w:rFonts w:hint="eastAsia" w:ascii="微软雅黑" w:hAnsi="微软雅黑" w:eastAsia="微软雅黑"/>
          <w:sz w:val="22"/>
          <w:szCs w:val="22"/>
        </w:rPr>
        <w:t>工商更名</w:t>
      </w:r>
    </w:p>
    <w:p w14:paraId="17EF712B">
      <w:pPr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由广告主跟进销售，在KA-CRM系统里编辑修改广告主公司名称，并在系统内上传工商更名函，提交待审。客户管理组核实无误后通过审核即完成工商更名。</w:t>
      </w:r>
    </w:p>
    <w:p w14:paraId="79AF6FB3">
      <w:pPr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  <w:u w:val="single"/>
        </w:rPr>
        <w:t>注：（若已申请加入</w:t>
      </w:r>
      <w:r>
        <w:rPr>
          <w:rFonts w:hint="eastAsia" w:ascii="微软雅黑" w:hAnsi="微软雅黑" w:eastAsia="微软雅黑"/>
          <w:sz w:val="21"/>
          <w:u w:val="single"/>
        </w:rPr>
        <w:t>效果/</w:t>
      </w:r>
      <w:r>
        <w:rPr>
          <w:rFonts w:ascii="微软雅黑" w:hAnsi="微软雅黑" w:eastAsia="微软雅黑"/>
          <w:sz w:val="21"/>
          <w:u w:val="single"/>
        </w:rPr>
        <w:t>4A</w:t>
      </w:r>
      <w:r>
        <w:rPr>
          <w:rFonts w:hint="eastAsia" w:ascii="微软雅黑" w:hAnsi="微软雅黑" w:eastAsia="微软雅黑"/>
          <w:sz w:val="21"/>
          <w:u w:val="single"/>
        </w:rPr>
        <w:t>渠道</w:t>
      </w:r>
      <w:r>
        <w:rPr>
          <w:rFonts w:hint="eastAsia" w:ascii="微软雅黑" w:hAnsi="微软雅黑" w:eastAsia="微软雅黑"/>
          <w:sz w:val="20"/>
          <w:szCs w:val="20"/>
          <w:u w:val="single"/>
        </w:rPr>
        <w:t>可开发名单，需参照“添加至效果/</w:t>
      </w:r>
      <w:r>
        <w:rPr>
          <w:rFonts w:ascii="微软雅黑" w:hAnsi="微软雅黑" w:eastAsia="微软雅黑"/>
          <w:sz w:val="20"/>
          <w:szCs w:val="20"/>
          <w:u w:val="single"/>
        </w:rPr>
        <w:t>4A</w:t>
      </w:r>
      <w:r>
        <w:rPr>
          <w:rFonts w:hint="eastAsia" w:ascii="微软雅黑" w:hAnsi="微软雅黑" w:eastAsia="微软雅黑"/>
          <w:sz w:val="20"/>
          <w:szCs w:val="20"/>
          <w:u w:val="single"/>
        </w:rPr>
        <w:t>渠道可开发名单”申请流程同步更新名单主体）</w:t>
      </w:r>
      <w:r>
        <w:rPr>
          <w:rFonts w:hint="eastAsia" w:ascii="微软雅黑" w:hAnsi="微软雅黑" w:eastAsia="微软雅黑"/>
          <w:sz w:val="20"/>
          <w:szCs w:val="20"/>
        </w:rPr>
        <w:t>。</w:t>
      </w:r>
    </w:p>
    <w:p w14:paraId="093E797C">
      <w:pPr>
        <w:pStyle w:val="3"/>
        <w:rPr>
          <w:rFonts w:ascii="微软雅黑" w:hAnsi="微软雅黑" w:eastAsia="微软雅黑"/>
          <w:sz w:val="22"/>
          <w:szCs w:val="22"/>
        </w:rPr>
      </w:pPr>
      <w:r>
        <w:rPr>
          <w:rFonts w:ascii="微软雅黑" w:hAnsi="微软雅黑" w:eastAsia="微软雅黑"/>
          <w:sz w:val="22"/>
          <w:szCs w:val="22"/>
        </w:rPr>
        <w:t>1</w:t>
      </w:r>
      <w:r>
        <w:rPr>
          <w:rFonts w:hint="eastAsia" w:ascii="微软雅黑" w:hAnsi="微软雅黑" w:eastAsia="微软雅黑"/>
          <w:sz w:val="22"/>
          <w:szCs w:val="22"/>
        </w:rPr>
        <w:t>.</w:t>
      </w:r>
      <w:r>
        <w:rPr>
          <w:rFonts w:ascii="微软雅黑" w:hAnsi="微软雅黑" w:eastAsia="微软雅黑"/>
          <w:sz w:val="22"/>
          <w:szCs w:val="22"/>
        </w:rPr>
        <w:t xml:space="preserve">3 </w:t>
      </w:r>
      <w:r>
        <w:rPr>
          <w:rFonts w:hint="eastAsia" w:ascii="微软雅黑" w:hAnsi="微软雅黑" w:eastAsia="微软雅黑"/>
          <w:sz w:val="22"/>
          <w:szCs w:val="22"/>
        </w:rPr>
        <w:t>添加至“效果/</w:t>
      </w:r>
      <w:r>
        <w:rPr>
          <w:rFonts w:ascii="微软雅黑" w:hAnsi="微软雅黑" w:eastAsia="微软雅黑"/>
          <w:sz w:val="22"/>
          <w:szCs w:val="22"/>
        </w:rPr>
        <w:t>4A</w:t>
      </w:r>
      <w:r>
        <w:rPr>
          <w:rFonts w:hint="eastAsia" w:ascii="微软雅黑" w:hAnsi="微软雅黑" w:eastAsia="微软雅黑"/>
          <w:sz w:val="22"/>
          <w:szCs w:val="22"/>
        </w:rPr>
        <w:t>渠道可开发名单”</w:t>
      </w:r>
    </w:p>
    <w:p w14:paraId="3C84E036">
      <w:pPr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适用场景：</w:t>
      </w:r>
      <w:r>
        <w:rPr>
          <w:rFonts w:hint="eastAsia" w:ascii="微软雅黑" w:hAnsi="微软雅黑" w:eastAsia="微软雅黑"/>
          <w:sz w:val="20"/>
          <w:szCs w:val="20"/>
        </w:rPr>
        <w:t>客户录入系统后，可以选择走不同渠道体系下单；若意愿选择效果/</w:t>
      </w:r>
      <w:r>
        <w:rPr>
          <w:rFonts w:ascii="微软雅黑" w:hAnsi="微软雅黑" w:eastAsia="微软雅黑"/>
          <w:sz w:val="20"/>
          <w:szCs w:val="20"/>
        </w:rPr>
        <w:t>4A</w:t>
      </w:r>
      <w:r>
        <w:rPr>
          <w:rFonts w:hint="eastAsia" w:ascii="微软雅黑" w:hAnsi="微软雅黑" w:eastAsia="微软雅黑"/>
          <w:sz w:val="20"/>
          <w:szCs w:val="20"/>
        </w:rPr>
        <w:t>渠道下单，需添加至可开发名单。</w:t>
      </w:r>
    </w:p>
    <w:p w14:paraId="0D96310C">
      <w:pPr>
        <w:ind w:firstLine="400" w:firstLineChars="200"/>
        <w:rPr>
          <w:rFonts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申请流程：</w:t>
      </w:r>
    </w:p>
    <w:p w14:paraId="34B0B529">
      <w:pPr>
        <w:pStyle w:val="42"/>
        <w:numPr>
          <w:ilvl w:val="0"/>
          <w:numId w:val="2"/>
        </w:numPr>
        <w:spacing w:line="360" w:lineRule="auto"/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发起需求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/>
          <w:sz w:val="20"/>
          <w:szCs w:val="20"/>
        </w:rPr>
        <w:t>接口人按照模板要求填写信息后，统一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发起至客户管理组（</w:t>
      </w:r>
      <w:r>
        <w:fldChar w:fldCharType="begin"/>
      </w:r>
      <w:r>
        <w:instrText xml:space="preserve"> HYPERLINK "mailto:g-sale-cm@360.cn" </w:instrText>
      </w:r>
      <w:r>
        <w:fldChar w:fldCharType="separate"/>
      </w:r>
      <w:r>
        <w:rPr>
          <w:rStyle w:val="28"/>
          <w:rFonts w:ascii="微软雅黑" w:hAnsi="微软雅黑" w:eastAsia="微软雅黑"/>
          <w:sz w:val="20"/>
          <w:szCs w:val="20"/>
        </w:rPr>
        <w:t>g-sale-cm@360.cn</w:t>
      </w:r>
      <w:r>
        <w:rPr>
          <w:rStyle w:val="28"/>
          <w:rFonts w:ascii="微软雅黑" w:hAnsi="微软雅黑" w:eastAsia="微软雅黑"/>
          <w:sz w:val="20"/>
          <w:szCs w:val="20"/>
        </w:rPr>
        <w:fldChar w:fldCharType="end"/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）；</w:t>
      </w:r>
    </w:p>
    <w:p w14:paraId="7A22C1AE">
      <w:pPr>
        <w:pStyle w:val="42"/>
        <w:numPr>
          <w:ilvl w:val="0"/>
          <w:numId w:val="2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初判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：客户管理组核查客户状态，同步本地渠道体系，依据不同状态要求本地渠道反馈。</w:t>
      </w:r>
    </w:p>
    <w:p w14:paraId="226D1D9C">
      <w:pPr>
        <w:pStyle w:val="42"/>
        <w:numPr>
          <w:ilvl w:val="0"/>
          <w:numId w:val="2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反馈意见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：本地渠道体系内部核实状态并配合后续操作，若有异议请反馈，若超期未反馈视为申请添加名单成功；</w:t>
      </w:r>
    </w:p>
    <w:p w14:paraId="4F15A4A4">
      <w:pPr>
        <w:pStyle w:val="42"/>
        <w:numPr>
          <w:ilvl w:val="0"/>
          <w:numId w:val="3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生效/保护期内状态：申请失败。</w:t>
      </w:r>
    </w:p>
    <w:p w14:paraId="0C59FF8C">
      <w:pPr>
        <w:pStyle w:val="42"/>
        <w:numPr>
          <w:ilvl w:val="0"/>
          <w:numId w:val="3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未保护状态：符合转移条件，若有异议请于1个工作日内反馈；</w:t>
      </w:r>
    </w:p>
    <w:p w14:paraId="73AD5AC6">
      <w:pPr>
        <w:pStyle w:val="42"/>
        <w:numPr>
          <w:ilvl w:val="0"/>
          <w:numId w:val="3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已提单状态（近1个月内为有效提单）：本地渠道</w:t>
      </w:r>
      <w:r>
        <w:rPr>
          <w:rFonts w:hint="eastAsia" w:ascii="微软雅黑" w:hAnsi="微软雅黑" w:eastAsia="微软雅黑"/>
          <w:sz w:val="20"/>
          <w:szCs w:val="20"/>
        </w:rPr>
        <w:t>需于</w:t>
      </w:r>
      <w:r>
        <w:rPr>
          <w:rFonts w:ascii="微软雅黑" w:hAnsi="微软雅黑" w:eastAsia="微软雅黑"/>
          <w:sz w:val="20"/>
          <w:szCs w:val="20"/>
        </w:rPr>
        <w:t>2</w:t>
      </w:r>
      <w:r>
        <w:rPr>
          <w:rFonts w:hint="eastAsia" w:ascii="微软雅黑" w:hAnsi="微软雅黑" w:eastAsia="微软雅黑"/>
          <w:sz w:val="20"/>
          <w:szCs w:val="20"/>
        </w:rPr>
        <w:t>个工作日内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提供相关有效合作证明；</w:t>
      </w:r>
    </w:p>
    <w:p w14:paraId="5C80519E">
      <w:pPr>
        <w:pStyle w:val="42"/>
        <w:numPr>
          <w:ilvl w:val="0"/>
          <w:numId w:val="3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超保护期状态：符合转移条件，本地渠道需于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个工作日内完成解保。逾期未处理，客户管理组将强制解保。</w:t>
      </w:r>
    </w:p>
    <w:p w14:paraId="41C8059F">
      <w:pPr>
        <w:pStyle w:val="42"/>
        <w:numPr>
          <w:ilvl w:val="0"/>
          <w:numId w:val="3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失效客户：符合转移条件，本地渠道需于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个工作日内注销账户。</w:t>
      </w:r>
    </w:p>
    <w:p w14:paraId="318C7BD4">
      <w:pPr>
        <w:pStyle w:val="42"/>
        <w:numPr>
          <w:ilvl w:val="0"/>
          <w:numId w:val="2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系统操作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：根据本地反馈结果，客户管理组核实后实施最终操作并反馈结论。</w:t>
      </w:r>
    </w:p>
    <w:p w14:paraId="75775066">
      <w:pPr>
        <w:pStyle w:val="42"/>
        <w:numPr>
          <w:ilvl w:val="0"/>
          <w:numId w:val="3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未保护状态：添加至名单内并反馈结果；</w:t>
      </w:r>
    </w:p>
    <w:p w14:paraId="7D5457D4">
      <w:pPr>
        <w:pStyle w:val="42"/>
        <w:numPr>
          <w:ilvl w:val="0"/>
          <w:numId w:val="3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超保护期状态：强制解保且添加至名单内，并反馈结果；</w:t>
      </w:r>
    </w:p>
    <w:p w14:paraId="6256BD80">
      <w:pPr>
        <w:pStyle w:val="42"/>
        <w:numPr>
          <w:ilvl w:val="0"/>
          <w:numId w:val="3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失效状态：申请方也可提供客户盖章的账户注销函（点睛账户注销函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见附件二）发送至客户管理组，客户管理组将同步风控团队配合强制注销；并系统添加至名单内，反馈结果；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</w:p>
    <w:p w14:paraId="16722274">
      <w:pPr>
        <w:ind w:firstLine="400" w:firstLineChars="200"/>
        <w:rPr>
          <w:rFonts w:ascii="微软雅黑" w:hAnsi="微软雅黑" w:eastAsia="微软雅黑"/>
          <w:color w:val="FF0000"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申请模版：</w:t>
      </w:r>
      <w:r>
        <w:rPr>
          <w:rFonts w:hint="eastAsia" w:ascii="微软雅黑" w:hAnsi="微软雅黑" w:eastAsia="微软雅黑"/>
          <w:sz w:val="20"/>
          <w:szCs w:val="20"/>
        </w:rPr>
        <w:t>邮件中需注明申请加白的广告主公司全称及合作链接，需确保链接能正常打开，且I</w:t>
      </w:r>
      <w:r>
        <w:rPr>
          <w:rFonts w:ascii="微软雅黑" w:hAnsi="微软雅黑" w:eastAsia="微软雅黑"/>
          <w:sz w:val="20"/>
          <w:szCs w:val="20"/>
        </w:rPr>
        <w:t>CP</w:t>
      </w:r>
      <w:r>
        <w:rPr>
          <w:rFonts w:hint="eastAsia" w:ascii="微软雅黑" w:hAnsi="微软雅黑" w:eastAsia="微软雅黑"/>
          <w:sz w:val="20"/>
          <w:szCs w:val="20"/>
        </w:rPr>
        <w:t>备案需与广告主一致（若不一致，需提供委托推广证明-见附件一） 。</w:t>
      </w:r>
    </w:p>
    <w:tbl>
      <w:tblPr>
        <w:tblStyle w:val="24"/>
        <w:tblW w:w="7513" w:type="dxa"/>
        <w:tblInd w:w="70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4111"/>
      </w:tblGrid>
      <w:tr w14:paraId="2F8AE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2D050"/>
            <w:noWrap/>
            <w:vAlign w:val="center"/>
          </w:tcPr>
          <w:p w14:paraId="37C632DC">
            <w:pPr>
              <w:spacing w:after="0" w:line="240" w:lineRule="auto"/>
              <w:jc w:val="left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  <w:t>客户名称</w:t>
            </w:r>
          </w:p>
        </w:tc>
        <w:tc>
          <w:tcPr>
            <w:tcW w:w="41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92D050"/>
            <w:noWrap/>
            <w:vAlign w:val="center"/>
          </w:tcPr>
          <w:p w14:paraId="4999E249">
            <w:pPr>
              <w:spacing w:after="0" w:line="240" w:lineRule="auto"/>
              <w:jc w:val="left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  <w:t>链接</w:t>
            </w:r>
          </w:p>
        </w:tc>
      </w:tr>
      <w:tr w14:paraId="7F984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40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928D26">
            <w:pPr>
              <w:spacing w:after="0" w:line="240" w:lineRule="auto"/>
              <w:jc w:val="left"/>
              <w:rPr>
                <w:rFonts w:ascii="微软雅黑" w:hAnsi="微软雅黑" w:eastAsia="微软雅黑" w:cs="宋体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宋体"/>
                <w:sz w:val="20"/>
                <w:szCs w:val="20"/>
              </w:rPr>
              <w:t>例：北京*</w:t>
            </w:r>
            <w:r>
              <w:rPr>
                <w:rFonts w:ascii="微软雅黑" w:hAnsi="微软雅黑" w:eastAsia="微软雅黑" w:cs="宋体"/>
                <w:sz w:val="20"/>
                <w:szCs w:val="20"/>
              </w:rPr>
              <w:t>**</w:t>
            </w:r>
            <w:r>
              <w:rPr>
                <w:rFonts w:hint="eastAsia" w:ascii="微软雅黑" w:hAnsi="微软雅黑" w:eastAsia="微软雅黑" w:cs="宋体"/>
                <w:sz w:val="20"/>
                <w:szCs w:val="20"/>
              </w:rPr>
              <w:t xml:space="preserve">有限公司 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3DF978">
            <w:pPr>
              <w:spacing w:after="0" w:line="240" w:lineRule="auto"/>
              <w:jc w:val="left"/>
              <w:rPr>
                <w:rFonts w:ascii="微软雅黑" w:hAnsi="微软雅黑" w:eastAsia="微软雅黑" w:cs="宋体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sz w:val="20"/>
                <w:szCs w:val="20"/>
              </w:rPr>
              <w:t>http://</w:t>
            </w:r>
            <w:r>
              <w:rPr>
                <w:rFonts w:ascii="微软雅黑" w:hAnsi="微软雅黑" w:eastAsia="微软雅黑" w:cs="宋体"/>
                <w:color w:val="000000"/>
                <w:sz w:val="20"/>
                <w:szCs w:val="20"/>
              </w:rPr>
              <w:t>www.abcd</w:t>
            </w:r>
            <w:r>
              <w:rPr>
                <w:rFonts w:hint="eastAsia" w:ascii="微软雅黑" w:hAnsi="微软雅黑" w:eastAsia="微软雅黑" w:cs="宋体"/>
                <w:color w:val="000000"/>
                <w:sz w:val="20"/>
                <w:szCs w:val="20"/>
              </w:rPr>
              <w:t>.com/</w:t>
            </w:r>
          </w:p>
        </w:tc>
      </w:tr>
    </w:tbl>
    <w:p w14:paraId="0B3DDFFF">
      <w:pPr>
        <w:rPr>
          <w:rFonts w:ascii="微软雅黑" w:hAnsi="微软雅黑" w:eastAsia="微软雅黑"/>
          <w:sz w:val="20"/>
          <w:szCs w:val="20"/>
        </w:rPr>
      </w:pPr>
    </w:p>
    <w:p w14:paraId="0707DC59">
      <w:pPr>
        <w:pStyle w:val="3"/>
        <w:rPr>
          <w:rFonts w:ascii="微软雅黑" w:hAnsi="微软雅黑" w:eastAsia="微软雅黑"/>
          <w:sz w:val="22"/>
          <w:szCs w:val="22"/>
        </w:rPr>
      </w:pPr>
      <w:r>
        <w:rPr>
          <w:rFonts w:ascii="微软雅黑" w:hAnsi="微软雅黑" w:eastAsia="微软雅黑"/>
          <w:sz w:val="22"/>
          <w:szCs w:val="22"/>
        </w:rPr>
        <w:t>1</w:t>
      </w:r>
      <w:r>
        <w:rPr>
          <w:rFonts w:hint="eastAsia" w:ascii="微软雅黑" w:hAnsi="微软雅黑" w:eastAsia="微软雅黑"/>
          <w:sz w:val="22"/>
          <w:szCs w:val="22"/>
        </w:rPr>
        <w:t>.</w:t>
      </w:r>
      <w:r>
        <w:rPr>
          <w:rFonts w:ascii="微软雅黑" w:hAnsi="微软雅黑" w:eastAsia="微软雅黑"/>
          <w:sz w:val="22"/>
          <w:szCs w:val="22"/>
        </w:rPr>
        <w:t xml:space="preserve">4 </w:t>
      </w:r>
      <w:r>
        <w:rPr>
          <w:rFonts w:hint="eastAsia" w:ascii="微软雅黑" w:hAnsi="微软雅黑" w:eastAsia="微软雅黑"/>
          <w:sz w:val="22"/>
          <w:szCs w:val="22"/>
        </w:rPr>
        <w:t>剔除“效果/</w:t>
      </w:r>
      <w:r>
        <w:rPr>
          <w:rFonts w:ascii="微软雅黑" w:hAnsi="微软雅黑" w:eastAsia="微软雅黑"/>
          <w:sz w:val="22"/>
          <w:szCs w:val="22"/>
        </w:rPr>
        <w:t>4A</w:t>
      </w:r>
      <w:r>
        <w:rPr>
          <w:rFonts w:hint="eastAsia" w:ascii="微软雅黑" w:hAnsi="微软雅黑" w:eastAsia="微软雅黑"/>
          <w:sz w:val="22"/>
          <w:szCs w:val="22"/>
        </w:rPr>
        <w:t>渠道可开发名单”</w:t>
      </w:r>
    </w:p>
    <w:p w14:paraId="169F444B">
      <w:pPr>
        <w:spacing w:line="360" w:lineRule="auto"/>
        <w:rPr>
          <w:rFonts w:ascii="微软雅黑" w:hAnsi="微软雅黑" w:eastAsia="微软雅黑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发起需求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：本地渠道</w:t>
      </w:r>
      <w:r>
        <w:rPr>
          <w:rFonts w:hint="eastAsia" w:ascii="微软雅黑" w:hAnsi="微软雅黑" w:eastAsia="微软雅黑"/>
          <w:sz w:val="20"/>
          <w:szCs w:val="20"/>
        </w:rPr>
        <w:t>接口人按照模板要求填写信息后，统一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发起至客户管理组（</w:t>
      </w:r>
      <w:r>
        <w:fldChar w:fldCharType="begin"/>
      </w:r>
      <w:r>
        <w:instrText xml:space="preserve"> HYPERLINK "mailto:g-sale-cm@360.cn" </w:instrText>
      </w:r>
      <w:r>
        <w:fldChar w:fldCharType="separate"/>
      </w:r>
      <w:r>
        <w:rPr>
          <w:rStyle w:val="28"/>
          <w:rFonts w:ascii="微软雅黑" w:hAnsi="微软雅黑" w:eastAsia="微软雅黑"/>
          <w:sz w:val="20"/>
          <w:szCs w:val="20"/>
        </w:rPr>
        <w:t>g-sale-cm@360.cn</w:t>
      </w:r>
      <w:r>
        <w:rPr>
          <w:rStyle w:val="28"/>
          <w:rFonts w:ascii="微软雅黑" w:hAnsi="微软雅黑" w:eastAsia="微软雅黑"/>
          <w:sz w:val="20"/>
          <w:szCs w:val="20"/>
        </w:rPr>
        <w:fldChar w:fldCharType="end"/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）；</w:t>
      </w:r>
    </w:p>
    <w:p w14:paraId="770BBB7F">
      <w:pP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初判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：客户管理组核查客户状态，同步行业群组销售及效果/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4A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渠道销售（已合作时），依据不同状态给与反馈。</w:t>
      </w:r>
    </w:p>
    <w:p w14:paraId="1824F791">
      <w:pP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反馈意见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：行业群组销售需反馈客户合作状态及保留意见（同一客户/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500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强/框架客户等），并提供相关合作证明；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若逾期未反馈，客户管理组将系统操作剔除名单。</w:t>
      </w:r>
    </w:p>
    <w:p w14:paraId="5D3A360A">
      <w:pPr>
        <w:pStyle w:val="42"/>
        <w:numPr>
          <w:ilvl w:val="0"/>
          <w:numId w:val="4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生效/保护期内状态：申请失败；</w:t>
      </w:r>
    </w:p>
    <w:p w14:paraId="1D37F899">
      <w:pPr>
        <w:pStyle w:val="42"/>
        <w:numPr>
          <w:ilvl w:val="0"/>
          <w:numId w:val="4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超保护期：符合转移条件，若有异议请于1个工作日内反馈；</w:t>
      </w:r>
    </w:p>
    <w:p w14:paraId="0748CCB1">
      <w:pPr>
        <w:pStyle w:val="42"/>
        <w:numPr>
          <w:ilvl w:val="0"/>
          <w:numId w:val="4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失效状态：符合转移条件，3个工作日内注销账户且关闭合同订单；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</w:p>
    <w:p w14:paraId="0EE1643E">
      <w:pPr>
        <w:pStyle w:val="42"/>
        <w:numPr>
          <w:ilvl w:val="0"/>
          <w:numId w:val="5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系统操作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：根据反馈结果，客户管理组核实后实施最终操作并反馈结论。</w:t>
      </w:r>
    </w:p>
    <w:p w14:paraId="03C392D8">
      <w:pPr>
        <w:pStyle w:val="42"/>
        <w:numPr>
          <w:ilvl w:val="0"/>
          <w:numId w:val="3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超保护期状态：剔除名单并反馈结果；</w:t>
      </w:r>
    </w:p>
    <w:p w14:paraId="756DF6BA">
      <w:pPr>
        <w:pStyle w:val="42"/>
        <w:numPr>
          <w:ilvl w:val="0"/>
          <w:numId w:val="3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失效状态：申请方也可提供客户盖章的账户注销函（点睛账户注销函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见附件二）发送至客户管理组，客户管理组将同步风控团队配合强制注销、同步商务流程组关闭单笔订单合同。并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从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系统内剔除名单，反馈结果；</w:t>
      </w:r>
    </w:p>
    <w:p w14:paraId="72B9E315">
      <w:pPr>
        <w:pStyle w:val="3"/>
        <w:rPr>
          <w:rFonts w:ascii="微软雅黑" w:hAnsi="微软雅黑" w:eastAsia="微软雅黑"/>
          <w:sz w:val="22"/>
          <w:szCs w:val="22"/>
        </w:rPr>
      </w:pPr>
      <w:r>
        <w:rPr>
          <w:rFonts w:ascii="微软雅黑" w:hAnsi="微软雅黑" w:eastAsia="微软雅黑"/>
          <w:sz w:val="22"/>
          <w:szCs w:val="22"/>
        </w:rPr>
        <w:t xml:space="preserve">1.5 </w:t>
      </w:r>
      <w:r>
        <w:rPr>
          <w:rFonts w:hint="eastAsia" w:ascii="微软雅黑" w:hAnsi="微软雅黑" w:eastAsia="微软雅黑"/>
          <w:sz w:val="22"/>
          <w:szCs w:val="22"/>
        </w:rPr>
        <w:t>调整销售归属</w:t>
      </w:r>
    </w:p>
    <w:p w14:paraId="410BA64D">
      <w:pPr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适用场景：</w:t>
      </w:r>
      <w:r>
        <w:rPr>
          <w:rFonts w:hint="eastAsia" w:ascii="微软雅黑" w:hAnsi="微软雅黑" w:eastAsia="微软雅黑"/>
          <w:sz w:val="20"/>
          <w:szCs w:val="20"/>
        </w:rPr>
        <w:t xml:space="preserve"> 若跨行业开发本地渠道新客户，出现系统匹配销售与实际开发销售不一致情况，可发起调整申请。</w:t>
      </w:r>
    </w:p>
    <w:p w14:paraId="7883D0E5">
      <w:pPr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调整流程： 客户开户7个工作日内，经对应行业部leader确认（若</w:t>
      </w:r>
      <w:r>
        <w:rPr>
          <w:rFonts w:hint="eastAsia" w:ascii="微软雅黑" w:hAnsi="微软雅黑" w:eastAsia="微软雅黑"/>
          <w:sz w:val="20"/>
          <w:szCs w:val="20"/>
          <w:u w:val="single"/>
        </w:rPr>
        <w:t>超过7个工作日需附行业群组leader</w:t>
      </w:r>
      <w:r>
        <w:rPr>
          <w:rFonts w:hint="eastAsia" w:ascii="微软雅黑" w:hAnsi="微软雅黑" w:eastAsia="微软雅黑"/>
          <w:sz w:val="20"/>
          <w:szCs w:val="20"/>
        </w:rPr>
        <w:t>确认邮件），发起转移申请邮件至客户管理组，同时明确告知转移后I</w:t>
      </w:r>
      <w:r>
        <w:rPr>
          <w:rFonts w:ascii="微软雅黑" w:hAnsi="微软雅黑" w:eastAsia="微软雅黑"/>
          <w:sz w:val="20"/>
          <w:szCs w:val="20"/>
        </w:rPr>
        <w:t>MS</w:t>
      </w:r>
      <w:r>
        <w:rPr>
          <w:rFonts w:hint="eastAsia" w:ascii="微软雅黑" w:hAnsi="微软雅黑" w:eastAsia="微软雅黑"/>
          <w:sz w:val="20"/>
          <w:szCs w:val="20"/>
        </w:rPr>
        <w:t>归属。</w:t>
      </w:r>
    </w:p>
    <w:p w14:paraId="463D293C">
      <w:pPr>
        <w:pStyle w:val="3"/>
        <w:rPr>
          <w:rFonts w:ascii="微软雅黑" w:hAnsi="微软雅黑" w:eastAsia="微软雅黑"/>
          <w:sz w:val="22"/>
          <w:szCs w:val="22"/>
        </w:rPr>
      </w:pPr>
      <w:r>
        <w:rPr>
          <w:rFonts w:ascii="微软雅黑" w:hAnsi="微软雅黑" w:eastAsia="微软雅黑"/>
          <w:sz w:val="22"/>
          <w:szCs w:val="22"/>
        </w:rPr>
        <w:t>1</w:t>
      </w:r>
      <w:r>
        <w:rPr>
          <w:rFonts w:hint="eastAsia" w:ascii="微软雅黑" w:hAnsi="微软雅黑" w:eastAsia="微软雅黑"/>
          <w:sz w:val="22"/>
          <w:szCs w:val="22"/>
        </w:rPr>
        <w:t>.</w:t>
      </w:r>
      <w:r>
        <w:rPr>
          <w:rFonts w:ascii="微软雅黑" w:hAnsi="微软雅黑" w:eastAsia="微软雅黑"/>
          <w:sz w:val="22"/>
          <w:szCs w:val="22"/>
        </w:rPr>
        <w:t>6</w:t>
      </w:r>
      <w:r>
        <w:rPr>
          <w:rFonts w:hint="eastAsia" w:ascii="微软雅黑" w:hAnsi="微软雅黑" w:eastAsia="微软雅黑"/>
          <w:sz w:val="22"/>
          <w:szCs w:val="22"/>
        </w:rPr>
        <w:t xml:space="preserve"> 行业复位</w:t>
      </w:r>
    </w:p>
    <w:p w14:paraId="3363BAB0">
      <w:pPr>
        <w:pStyle w:val="42"/>
        <w:spacing w:line="360" w:lineRule="auto"/>
        <w:ind w:left="260" w:leftChars="118" w:firstLine="200" w:firstLineChars="1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适用场景：</w:t>
      </w:r>
      <w:r>
        <w:rPr>
          <w:rFonts w:hint="eastAsia" w:ascii="微软雅黑" w:hAnsi="微软雅黑" w:eastAsia="微软雅黑"/>
          <w:sz w:val="20"/>
          <w:szCs w:val="20"/>
        </w:rPr>
        <w:t>行业群组销售跨行业开发客户，效果/4</w:t>
      </w:r>
      <w:r>
        <w:rPr>
          <w:rFonts w:ascii="微软雅黑" w:hAnsi="微软雅黑" w:eastAsia="微软雅黑"/>
          <w:sz w:val="20"/>
          <w:szCs w:val="20"/>
        </w:rPr>
        <w:t>A</w:t>
      </w:r>
      <w:r>
        <w:rPr>
          <w:rFonts w:hint="eastAsia" w:ascii="微软雅黑" w:hAnsi="微软雅黑" w:eastAsia="微软雅黑"/>
          <w:sz w:val="20"/>
          <w:szCs w:val="20"/>
        </w:rPr>
        <w:t>渠道客户合作满4个季度后会进行复位，本地渠道复位客户季度复位，归位至所属行业部。</w:t>
      </w:r>
    </w:p>
    <w:p w14:paraId="13FDCE41">
      <w:pPr>
        <w:spacing w:line="360" w:lineRule="auto"/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1）预复位名单下发：客户管理组在每季度</w:t>
      </w:r>
      <w:r>
        <w:rPr>
          <w:rFonts w:hint="eastAsia" w:ascii="微软雅黑" w:hAnsi="微软雅黑" w:eastAsia="微软雅黑"/>
          <w:sz w:val="20"/>
          <w:szCs w:val="20"/>
          <w:highlight w:val="yellow"/>
        </w:rPr>
        <w:t>第三个月10日前</w:t>
      </w:r>
      <w:r>
        <w:rPr>
          <w:rFonts w:hint="eastAsia" w:ascii="微软雅黑" w:hAnsi="微软雅黑" w:eastAsia="微软雅黑"/>
          <w:sz w:val="20"/>
          <w:szCs w:val="20"/>
        </w:rPr>
        <w:t>将预复位客户明细按行业群组分别下发至对应销售BP组及行业群组负责人。</w:t>
      </w:r>
    </w:p>
    <w:p w14:paraId="0ADE3EB3">
      <w:pPr>
        <w:spacing w:line="360" w:lineRule="auto"/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2）保留反馈：销售BP组需在</w:t>
      </w:r>
      <w:r>
        <w:rPr>
          <w:rFonts w:hint="eastAsia" w:ascii="微软雅黑" w:hAnsi="微软雅黑" w:eastAsia="微软雅黑"/>
          <w:color w:val="auto"/>
          <w:sz w:val="20"/>
          <w:szCs w:val="20"/>
          <w:highlight w:val="yellow"/>
        </w:rPr>
        <w:t>规定时间内</w:t>
      </w:r>
      <w:r>
        <w:rPr>
          <w:rFonts w:hint="eastAsia" w:ascii="微软雅黑" w:hAnsi="微软雅黑" w:eastAsia="微软雅黑"/>
          <w:sz w:val="20"/>
          <w:szCs w:val="20"/>
        </w:rPr>
        <w:t>内反馈销售申请保留客户及原因，客户管理组根据情况进行评估。</w:t>
      </w:r>
    </w:p>
    <w:p w14:paraId="0B181D84">
      <w:pPr>
        <w:spacing w:line="360" w:lineRule="auto"/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3</w:t>
      </w:r>
      <w:r>
        <w:rPr>
          <w:rFonts w:hint="eastAsia" w:ascii="微软雅黑" w:hAnsi="微软雅黑" w:eastAsia="微软雅黑"/>
          <w:sz w:val="20"/>
          <w:szCs w:val="20"/>
        </w:rPr>
        <w:t>）终版确认：根据最终沟通情况，确认终版复位客户，并回复销售BP组结果。B</w:t>
      </w:r>
      <w:r>
        <w:rPr>
          <w:rFonts w:ascii="微软雅黑" w:hAnsi="微软雅黑" w:eastAsia="微软雅黑"/>
          <w:sz w:val="20"/>
          <w:szCs w:val="20"/>
        </w:rPr>
        <w:t>P</w:t>
      </w:r>
      <w:r>
        <w:rPr>
          <w:rFonts w:hint="eastAsia" w:ascii="微软雅黑" w:hAnsi="微软雅黑" w:eastAsia="微软雅黑"/>
          <w:sz w:val="20"/>
          <w:szCs w:val="20"/>
        </w:rPr>
        <w:t>需在季度末前回复接收客户的跟进销售及IMS。</w:t>
      </w:r>
    </w:p>
    <w:p w14:paraId="4BD85B8E">
      <w:pPr>
        <w:spacing w:line="360" w:lineRule="auto"/>
        <w:ind w:firstLine="400" w:firstLineChars="200"/>
        <w:rPr>
          <w:rFonts w:hint="eastAsia" w:ascii="微软雅黑" w:hAnsi="微软雅黑" w:eastAsia="微软雅黑"/>
          <w:color w:val="FF0000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4</w:t>
      </w:r>
      <w:r>
        <w:rPr>
          <w:rFonts w:hint="eastAsia" w:ascii="微软雅黑" w:hAnsi="微软雅黑" w:eastAsia="微软雅黑"/>
          <w:sz w:val="20"/>
          <w:szCs w:val="20"/>
        </w:rPr>
        <w:t>）转移操作：次季度财务结算后，客户管理组在KA&amp;ONE系统进行销售及IMS调整，并回复销售BP组转移结果。</w:t>
      </w:r>
    </w:p>
    <w:p w14:paraId="36122259">
      <w:pPr>
        <w:pStyle w:val="2"/>
        <w:jc w:val="center"/>
        <w:rPr>
          <w:rFonts w:ascii="微软雅黑" w:hAnsi="微软雅黑" w:eastAsia="微软雅黑"/>
          <w:sz w:val="24"/>
          <w:szCs w:val="24"/>
        </w:rPr>
      </w:pPr>
      <w:bookmarkStart w:id="1" w:name="_Toc181965849"/>
      <w:r>
        <w:rPr>
          <w:rFonts w:hint="eastAsia" w:ascii="微软雅黑" w:hAnsi="微软雅黑" w:eastAsia="微软雅黑"/>
          <w:sz w:val="24"/>
          <w:szCs w:val="24"/>
        </w:rPr>
        <w:t>二、客户流转</w:t>
      </w:r>
      <w:bookmarkEnd w:id="1"/>
    </w:p>
    <w:p w14:paraId="70BC9362">
      <w:pPr>
        <w:pStyle w:val="3"/>
        <w:rPr>
          <w:rFonts w:ascii="微软雅黑" w:hAnsi="微软雅黑" w:eastAsia="微软雅黑"/>
          <w:sz w:val="22"/>
          <w:szCs w:val="22"/>
        </w:rPr>
      </w:pPr>
      <w:bookmarkStart w:id="2" w:name="_Toc181965850"/>
      <w:r>
        <w:rPr>
          <w:rFonts w:ascii="微软雅黑" w:hAnsi="微软雅黑" w:eastAsia="微软雅黑"/>
          <w:sz w:val="22"/>
          <w:szCs w:val="22"/>
        </w:rPr>
        <w:t>2.</w:t>
      </w:r>
      <w:r>
        <w:rPr>
          <w:rFonts w:hint="eastAsia" w:ascii="微软雅黑" w:hAnsi="微软雅黑" w:eastAsia="微软雅黑"/>
          <w:sz w:val="22"/>
          <w:szCs w:val="22"/>
        </w:rPr>
        <w:t>1 公共池客户转移</w:t>
      </w:r>
      <w:bookmarkEnd w:id="2"/>
    </w:p>
    <w:p w14:paraId="589A2922">
      <w:pPr>
        <w:spacing w:line="360" w:lineRule="auto"/>
        <w:ind w:firstLine="400" w:firstLineChars="20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适用场景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：如涉及开发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公共池客户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（即未保护客户、超保护期客户、失效客户），根据规则销售可时时申请，按以下流程进行客户流转。</w:t>
      </w:r>
    </w:p>
    <w:p w14:paraId="6521D1D6">
      <w:pPr>
        <w:spacing w:line="360" w:lineRule="auto"/>
        <w:ind w:firstLine="400" w:firstLineChars="200"/>
        <w:rPr>
          <w:rFonts w:ascii="微软雅黑" w:hAnsi="微软雅黑" w:eastAsia="微软雅黑"/>
          <w:color w:val="FF0000"/>
          <w:sz w:val="20"/>
          <w:szCs w:val="20"/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1）名单推送：公共池名单每周一由系统自动推送邮件发送至</w:t>
      </w:r>
      <w:r>
        <w:rPr>
          <w:rFonts w:hint="eastAsia" w:ascii="微软雅黑" w:hAnsi="微软雅黑" w:eastAsia="微软雅黑"/>
          <w:color w:val="auto"/>
          <w:sz w:val="20"/>
          <w:szCs w:val="20"/>
          <w:highlight w:val="yellow"/>
        </w:rPr>
        <w:t>各行业群邮件组</w:t>
      </w:r>
      <w:r>
        <w:rPr>
          <w:rFonts w:hint="eastAsia" w:ascii="微软雅黑" w:hAnsi="微软雅黑" w:eastAsia="微软雅黑"/>
          <w:color w:val="auto"/>
          <w:sz w:val="20"/>
          <w:szCs w:val="20"/>
        </w:rPr>
        <w:t>。</w:t>
      </w:r>
    </w:p>
    <w:p w14:paraId="70E427AA">
      <w:pPr>
        <w:spacing w:line="360" w:lineRule="auto"/>
        <w:ind w:firstLine="400" w:firstLineChars="20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2）转移流程：由销售时时申请发起至客户管理组，由客户管理组判断满足转移条件后，发送原归属方在1个工作日内进行确认（是否存在同一客户等情况或是否保留），逾期未反馈，视为认可转移，客户管理组操作归属转移并反馈转移结果。</w:t>
      </w:r>
    </w:p>
    <w:p w14:paraId="12150637">
      <w:pPr>
        <w:spacing w:line="360" w:lineRule="auto"/>
        <w:ind w:firstLine="400" w:firstLineChars="20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）保留条件：原销售若想申请保留公共池客户，需提供客户有效下单邮件，可特殊延期保留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:highlight w:val="yellow"/>
          <w14:textFill>
            <w14:solidFill>
              <w14:schemeClr w14:val="tx1"/>
            </w14:solidFill>
          </w14:textFill>
        </w:rPr>
        <w:t>1个月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，且原销售不得对同一客户再次提出保留申请。</w:t>
      </w:r>
    </w:p>
    <w:p w14:paraId="23FCD277">
      <w:pPr>
        <w:spacing w:line="360" w:lineRule="auto"/>
        <w:ind w:firstLine="400" w:firstLineChars="20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sz w:val="20"/>
          <w:szCs w:val="20"/>
        </w:rPr>
        <w:t>*有效下单邮件（确认邮件有效期为1个月内）要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求包含但不限于：预计下单时间、产品线（资源位）、金额等，邮件发件人需包含客户信息（签名或邮箱后缀信息）。</w:t>
      </w:r>
    </w:p>
    <w:p w14:paraId="6808FA36">
      <w:pPr>
        <w:pStyle w:val="3"/>
        <w:rPr>
          <w:rFonts w:ascii="微软雅黑" w:hAnsi="微软雅黑" w:eastAsia="微软雅黑"/>
          <w:sz w:val="22"/>
          <w:szCs w:val="22"/>
        </w:rPr>
      </w:pPr>
      <w:bookmarkStart w:id="3" w:name="_Toc181965851"/>
      <w:r>
        <w:rPr>
          <w:rFonts w:ascii="微软雅黑" w:hAnsi="微软雅黑" w:eastAsia="微软雅黑"/>
          <w:sz w:val="22"/>
          <w:szCs w:val="22"/>
        </w:rPr>
        <w:t>2.</w:t>
      </w:r>
      <w:r>
        <w:rPr>
          <w:rFonts w:hint="eastAsia" w:ascii="微软雅黑" w:hAnsi="微软雅黑" w:eastAsia="微软雅黑"/>
          <w:sz w:val="22"/>
          <w:szCs w:val="22"/>
        </w:rPr>
        <w:t>2</w:t>
      </w:r>
      <w:r>
        <w:rPr>
          <w:rFonts w:ascii="微软雅黑" w:hAnsi="微软雅黑" w:eastAsia="微软雅黑"/>
          <w:sz w:val="22"/>
          <w:szCs w:val="22"/>
        </w:rPr>
        <w:t xml:space="preserve"> </w:t>
      </w:r>
      <w:r>
        <w:rPr>
          <w:rFonts w:hint="eastAsia" w:ascii="微软雅黑" w:hAnsi="微软雅黑" w:eastAsia="微软雅黑"/>
          <w:sz w:val="22"/>
          <w:szCs w:val="22"/>
        </w:rPr>
        <w:t>非公共池客户转移</w:t>
      </w:r>
      <w:bookmarkEnd w:id="3"/>
    </w:p>
    <w:p w14:paraId="55871253">
      <w:pPr>
        <w:spacing w:line="360" w:lineRule="auto"/>
        <w:ind w:firstLine="400" w:firstLineChars="20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适用场景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：如涉及开发非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公共池客户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（保护期内客户、生效客户）需按照审批转移流程进行客户流转。</w:t>
      </w:r>
    </w:p>
    <w:p w14:paraId="462C6FA3">
      <w:pPr>
        <w:spacing w:line="360" w:lineRule="auto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）转移流程：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销售侧需根据不同客户情况，附上相应审批确认邮件发送至客户管理组，客户管理组核实无误后操作归属转移。</w:t>
      </w:r>
    </w:p>
    <w:p w14:paraId="4C4CD0BB">
      <w:pPr>
        <w:pStyle w:val="42"/>
        <w:numPr>
          <w:ilvl w:val="0"/>
          <w:numId w:val="6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保护期内客户转移：需提供原行业部销售的确认邮件；同组内客户审批转移次数最多不得超过2次（离职、入职、转岗等特殊情况除外）。</w:t>
      </w:r>
    </w:p>
    <w:p w14:paraId="55E628A8">
      <w:pPr>
        <w:pStyle w:val="42"/>
        <w:numPr>
          <w:ilvl w:val="0"/>
          <w:numId w:val="6"/>
        </w:numPr>
        <w:ind w:firstLineChars="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生效客户转移：</w:t>
      </w:r>
    </w:p>
    <w:p w14:paraId="79B28DAB">
      <w:pPr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①行业部内转移：</w:t>
      </w:r>
      <w:r>
        <w:rPr>
          <w:rFonts w:hint="eastAsia" w:ascii="微软雅黑" w:hAnsi="微软雅黑" w:eastAsia="微软雅黑"/>
          <w:sz w:val="20"/>
          <w:szCs w:val="20"/>
        </w:rPr>
        <w:t>每季度前两个月的客户转移及第三个月的新开客户转移，需提供行业部</w:t>
      </w:r>
      <w:r>
        <w:rPr>
          <w:rFonts w:ascii="微软雅黑" w:hAnsi="微软雅黑" w:eastAsia="微软雅黑"/>
          <w:sz w:val="20"/>
          <w:szCs w:val="20"/>
        </w:rPr>
        <w:t>leader</w:t>
      </w:r>
      <w:r>
        <w:rPr>
          <w:rFonts w:hint="eastAsia" w:ascii="微软雅黑" w:hAnsi="微软雅黑" w:eastAsia="微软雅黑"/>
          <w:sz w:val="20"/>
          <w:szCs w:val="20"/>
        </w:rPr>
        <w:t>确认邮件</w:t>
      </w:r>
      <w:r>
        <w:rPr>
          <w:rFonts w:ascii="微软雅黑" w:hAnsi="微软雅黑" w:eastAsia="微软雅黑"/>
          <w:sz w:val="20"/>
          <w:szCs w:val="20"/>
        </w:rPr>
        <w:t xml:space="preserve">; </w:t>
      </w:r>
      <w:r>
        <w:rPr>
          <w:rFonts w:hint="eastAsia" w:ascii="微软雅黑" w:hAnsi="微软雅黑" w:eastAsia="微软雅黑"/>
          <w:sz w:val="20"/>
          <w:szCs w:val="20"/>
        </w:rPr>
        <w:t>每季度第三个月的存量客户转移，需提供行业群组</w:t>
      </w:r>
      <w:r>
        <w:rPr>
          <w:rFonts w:ascii="微软雅黑" w:hAnsi="微软雅黑" w:eastAsia="微软雅黑"/>
          <w:sz w:val="20"/>
          <w:szCs w:val="20"/>
        </w:rPr>
        <w:t>leader</w:t>
      </w:r>
      <w:r>
        <w:rPr>
          <w:rFonts w:hint="eastAsia" w:ascii="微软雅黑" w:hAnsi="微软雅黑" w:eastAsia="微软雅黑"/>
          <w:sz w:val="20"/>
          <w:szCs w:val="20"/>
        </w:rPr>
        <w:t>确认邮件。</w:t>
      </w:r>
    </w:p>
    <w:p w14:paraId="223897A7">
      <w:pPr>
        <w:ind w:firstLine="400" w:firstLineChars="20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②跨行业部转移:需提供行业群组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leader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确认邮件，方可转移。</w:t>
      </w:r>
    </w:p>
    <w:p w14:paraId="24F13715">
      <w:pPr>
        <w:spacing w:line="360" w:lineRule="auto"/>
        <w:rPr>
          <w:rFonts w:ascii="微软雅黑" w:hAnsi="微软雅黑" w:eastAsia="微软雅黑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）转移说明：</w:t>
      </w:r>
    </w:p>
    <w:p w14:paraId="5F00B0E9">
      <w:pPr>
        <w:spacing w:line="360" w:lineRule="auto"/>
        <w:ind w:firstLine="400" w:firstLineChars="200"/>
        <w:rPr>
          <w:rFonts w:ascii="微软雅黑" w:hAnsi="微软雅黑" w:eastAsia="微软雅黑"/>
          <w:color w:val="auto"/>
          <w:sz w:val="20"/>
          <w:szCs w:val="20"/>
          <w:highlight w:val="yellow"/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如涉及销售助理变更，请同时标注相应的销售助理转移（助理转移合同时，请填写订单ID及合同编号；如涉及上线任务和紧急上线任务的转移，请单独sheet提供上线任务ID/紧急上线任务ID，已经关联合同订单的，务必确保上线任务与关联合同订单归属一致）。</w:t>
      </w:r>
      <w:bookmarkStart w:id="9" w:name="_GoBack"/>
      <w:bookmarkEnd w:id="9"/>
      <w:r>
        <w:rPr>
          <w:rFonts w:hint="eastAsia" w:ascii="微软雅黑" w:hAnsi="微软雅黑" w:eastAsia="微软雅黑"/>
          <w:color w:val="auto"/>
          <w:sz w:val="20"/>
          <w:szCs w:val="20"/>
          <w:highlight w:val="yellow"/>
          <w:lang w:val="en-US" w:eastAsia="zh-CN"/>
        </w:rPr>
        <w:t>提供</w:t>
      </w:r>
      <w:r>
        <w:rPr>
          <w:rFonts w:hint="eastAsia" w:ascii="微软雅黑" w:hAnsi="微软雅黑" w:eastAsia="微软雅黑"/>
          <w:color w:val="auto"/>
          <w:sz w:val="20"/>
          <w:szCs w:val="20"/>
          <w:highlight w:val="yellow"/>
        </w:rPr>
        <w:t>Leader确认</w:t>
      </w:r>
      <w:r>
        <w:rPr>
          <w:rFonts w:hint="eastAsia" w:ascii="微软雅黑" w:hAnsi="微软雅黑" w:eastAsia="微软雅黑"/>
          <w:color w:val="auto"/>
          <w:sz w:val="20"/>
          <w:szCs w:val="20"/>
          <w:highlight w:val="yellow"/>
          <w:lang w:val="en-US" w:eastAsia="zh-CN"/>
        </w:rPr>
        <w:t>邮件，方可转移。</w:t>
      </w:r>
    </w:p>
    <w:p w14:paraId="0778CA50">
      <w:pPr>
        <w:pStyle w:val="3"/>
        <w:rPr>
          <w:rFonts w:ascii="微软雅黑" w:hAnsi="微软雅黑" w:eastAsia="微软雅黑"/>
          <w:sz w:val="22"/>
          <w:szCs w:val="22"/>
        </w:rPr>
      </w:pPr>
      <w:bookmarkStart w:id="4" w:name="_Toc181965852"/>
      <w:r>
        <w:rPr>
          <w:rFonts w:ascii="微软雅黑" w:hAnsi="微软雅黑" w:eastAsia="微软雅黑"/>
          <w:sz w:val="22"/>
          <w:szCs w:val="22"/>
        </w:rPr>
        <w:t>2.</w:t>
      </w:r>
      <w:r>
        <w:rPr>
          <w:rFonts w:hint="eastAsia" w:ascii="微软雅黑" w:hAnsi="微软雅黑" w:eastAsia="微软雅黑"/>
          <w:sz w:val="22"/>
          <w:szCs w:val="22"/>
        </w:rPr>
        <w:t>3 IMS跟进归属转移</w:t>
      </w:r>
      <w:bookmarkEnd w:id="4"/>
    </w:p>
    <w:p w14:paraId="6380F6C3">
      <w:pPr>
        <w:spacing w:line="360" w:lineRule="auto"/>
        <w:ind w:firstLine="400" w:firstLineChars="20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适用场景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：客户对应I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MS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跟进归属转移调整。</w:t>
      </w:r>
      <w:r>
        <w:rPr>
          <w:rFonts w:ascii="微软雅黑" w:hAnsi="微软雅黑" w:eastAsia="微软雅黑"/>
        </w:rPr>
        <w:t xml:space="preserve"> </w:t>
      </w:r>
    </w:p>
    <w:p w14:paraId="0746C9D5">
      <w:pP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1）转移原则：一个客户仅可由一个IMS负责，且不得跨行业部。</w:t>
      </w:r>
    </w:p>
    <w:p w14:paraId="3E0EE3F2">
      <w:pP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）开户后IMS调整：均需经过相应审批后，由客户管理组统一调整。</w:t>
      </w:r>
    </w:p>
    <w:p w14:paraId="2F06E476">
      <w:pPr>
        <w:ind w:firstLine="420" w:firstLineChars="21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①每季度前两个月内的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IMS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调整，需经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IMS-leader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确认；</w:t>
      </w:r>
    </w:p>
    <w:p w14:paraId="5BFDD19E">
      <w:pPr>
        <w:ind w:firstLine="420" w:firstLineChars="21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②每季度第三个月的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IMS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调整，若为当月新开客户，需经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IMS-leader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确认，若为老客户，需经行业群组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leader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确认并明确业绩归属方；（举例：客户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于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月新合作，分配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IMS-A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，若于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月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日想调整为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IMS-B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，需提供行业群组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leader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确认邮件方可转移）；</w:t>
      </w:r>
    </w:p>
    <w:p w14:paraId="335F89BE">
      <w:pP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）若确有客户需由多个IMS负责，需经行业群组leader确认备案至客管组。</w:t>
      </w:r>
    </w:p>
    <w:p w14:paraId="36E6AAB3">
      <w:pPr>
        <w:pStyle w:val="42"/>
        <w:ind w:left="455" w:leftChars="207" w:firstLine="200" w:firstLineChars="100"/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9ADA618">
      <w:pPr>
        <w:pStyle w:val="2"/>
        <w:jc w:val="center"/>
        <w:rPr>
          <w:rFonts w:ascii="微软雅黑" w:hAnsi="微软雅黑" w:eastAsia="微软雅黑"/>
          <w:sz w:val="24"/>
          <w:szCs w:val="24"/>
        </w:rPr>
      </w:pPr>
      <w:bookmarkStart w:id="5" w:name="_Toc181965853"/>
      <w:r>
        <w:rPr>
          <w:rFonts w:hint="eastAsia" w:ascii="微软雅黑" w:hAnsi="微软雅黑" w:eastAsia="微软雅黑"/>
          <w:sz w:val="24"/>
          <w:szCs w:val="24"/>
        </w:rPr>
        <w:t>三、违规判罚</w:t>
      </w:r>
      <w:bookmarkEnd w:id="5"/>
    </w:p>
    <w:p w14:paraId="0CCE7EEF">
      <w:pPr>
        <w:pStyle w:val="3"/>
        <w:rPr>
          <w:rFonts w:ascii="微软雅黑" w:hAnsi="微软雅黑" w:eastAsia="微软雅黑"/>
          <w:sz w:val="22"/>
          <w:szCs w:val="22"/>
        </w:rPr>
      </w:pPr>
      <w:bookmarkStart w:id="6" w:name="_Toc181965854"/>
      <w:r>
        <w:rPr>
          <w:rFonts w:ascii="微软雅黑" w:hAnsi="微软雅黑" w:eastAsia="微软雅黑"/>
          <w:sz w:val="22"/>
          <w:szCs w:val="22"/>
        </w:rPr>
        <w:t>3.</w:t>
      </w:r>
      <w:r>
        <w:rPr>
          <w:rFonts w:hint="eastAsia" w:ascii="微软雅黑" w:hAnsi="微软雅黑" w:eastAsia="微软雅黑"/>
          <w:sz w:val="22"/>
          <w:szCs w:val="22"/>
        </w:rPr>
        <w:t>1 违规申诉</w:t>
      </w:r>
      <w:bookmarkEnd w:id="6"/>
    </w:p>
    <w:p w14:paraId="4C8D909E">
      <w:pPr>
        <w:spacing w:line="360" w:lineRule="auto"/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适用场景：</w:t>
      </w:r>
      <w:r>
        <w:rPr>
          <w:rFonts w:hint="eastAsia" w:ascii="微软雅黑" w:hAnsi="微软雅黑" w:eastAsia="微软雅黑"/>
          <w:sz w:val="20"/>
          <w:szCs w:val="20"/>
        </w:rPr>
        <w:t>违规初判成立后，</w:t>
      </w:r>
      <w:r>
        <w:rPr>
          <w:rFonts w:hint="eastAsia"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相关行业群组如有证据提供，依照本流程进行。</w:t>
      </w:r>
    </w:p>
    <w:p w14:paraId="16328F9D">
      <w:pPr>
        <w:spacing w:line="360" w:lineRule="auto"/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1）违规初判结果发送后，违规方需在3个工作日内提供相关申诉材料邮件发送至客户管理组。未能按时提交申诉申请及证据者，客户管理组将维持首次违规认定中的原判结果。客户管理组不受理任何超过规定期限的申诉申请。</w:t>
      </w:r>
    </w:p>
    <w:p w14:paraId="2D2E0AD8">
      <w:pPr>
        <w:spacing w:line="360" w:lineRule="auto"/>
        <w:ind w:firstLine="400" w:firstLineChars="200"/>
        <w:rPr>
          <w:rFonts w:ascii="微软雅黑" w:hAnsi="微软雅黑" w:eastAsia="微软雅黑"/>
          <w:sz w:val="20"/>
          <w:szCs w:val="20"/>
          <w:highlight w:val="yellow"/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2）违规方若需延期提供申诉材料，可在判定邮件发送后三个工作日内提交延期申诉（最长不可超过7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个工作日），逾期将不予处理；</w:t>
      </w:r>
      <w:r>
        <w:rPr>
          <w:rFonts w:hint="eastAsia" w:ascii="微软雅黑" w:hAnsi="微软雅黑" w:eastAsia="微软雅黑" w:cs="Arial"/>
          <w:color w:val="000000" w:themeColor="text1"/>
          <w:sz w:val="20"/>
          <w:szCs w:val="20"/>
          <w:highlight w:val="yellow"/>
          <w14:textFill>
            <w14:solidFill>
              <w14:schemeClr w14:val="tx1"/>
            </w14:solidFill>
          </w14:textFill>
        </w:rPr>
        <w:t>针对同一投诉，申诉不得超过3次；</w:t>
      </w:r>
    </w:p>
    <w:p w14:paraId="44182DA8">
      <w:pPr>
        <w:spacing w:line="360" w:lineRule="auto"/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3</w:t>
      </w:r>
      <w:r>
        <w:rPr>
          <w:rFonts w:hint="eastAsia" w:ascii="微软雅黑" w:hAnsi="微软雅黑" w:eastAsia="微软雅黑"/>
          <w:sz w:val="20"/>
          <w:szCs w:val="20"/>
        </w:rPr>
        <w:t>）客户管理组将结合提交申诉材料，依据申诉材料的有效性判断申诉是否成立并给予回复。证据重要度将参照证据优先级进行排序，优先级高的证据将被优先采用。</w:t>
      </w:r>
    </w:p>
    <w:p w14:paraId="126ED0BC">
      <w:pPr>
        <w:spacing w:line="360" w:lineRule="auto"/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4）证明材料</w:t>
      </w:r>
    </w:p>
    <w:p w14:paraId="1158D417">
      <w:pPr>
        <w:pStyle w:val="42"/>
        <w:numPr>
          <w:ilvl w:val="0"/>
          <w:numId w:val="7"/>
        </w:numPr>
        <w:spacing w:after="0" w:line="360" w:lineRule="auto"/>
        <w:ind w:firstLineChars="0"/>
        <w:rPr>
          <w:rFonts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同一客户证明：遵循</w:t>
      </w:r>
      <w:r>
        <w:rPr>
          <w:rFonts w:hint="eastAsia"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上述同一客户原则。</w:t>
      </w:r>
    </w:p>
    <w:p w14:paraId="17CD203E">
      <w:pPr>
        <w:pStyle w:val="42"/>
        <w:numPr>
          <w:ilvl w:val="0"/>
          <w:numId w:val="7"/>
        </w:numPr>
        <w:spacing w:after="0" w:line="360" w:lineRule="auto"/>
        <w:ind w:firstLineChars="0"/>
        <w:rPr>
          <w:rFonts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推广链接所属公司判定参考（从①-③</w:t>
      </w:r>
      <w:r>
        <w:rPr>
          <w:rFonts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优先级递减</w:t>
      </w:r>
      <w:r>
        <w:rPr>
          <w:rFonts w:hint="eastAsia"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）：</w:t>
      </w:r>
    </w:p>
    <w:p w14:paraId="335AB29B">
      <w:pPr>
        <w:pStyle w:val="42"/>
        <w:numPr>
          <w:ilvl w:val="0"/>
          <w:numId w:val="8"/>
        </w:numPr>
        <w:spacing w:after="0" w:line="360" w:lineRule="auto"/>
        <w:ind w:firstLine="633" w:firstLineChars="0"/>
        <w:rPr>
          <w:rFonts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ICP备案公司</w:t>
      </w:r>
      <w:r>
        <w:rPr>
          <w:rFonts w:ascii="微软雅黑" w:hAnsi="微软雅黑" w:eastAsia="微软雅黑"/>
          <w:sz w:val="20"/>
          <w:szCs w:val="20"/>
        </w:rPr>
        <w:t>名称</w:t>
      </w:r>
      <w:r>
        <w:rPr>
          <w:rFonts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；</w:t>
      </w:r>
    </w:p>
    <w:p w14:paraId="4732F9B3">
      <w:pPr>
        <w:pStyle w:val="42"/>
        <w:numPr>
          <w:ilvl w:val="0"/>
          <w:numId w:val="8"/>
        </w:numPr>
        <w:spacing w:after="0" w:line="360" w:lineRule="auto"/>
        <w:ind w:firstLine="633" w:firstLineChars="0"/>
        <w:rPr>
          <w:rFonts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关于（联系）我们内体现的公司名称；</w:t>
      </w:r>
    </w:p>
    <w:p w14:paraId="66445ACE">
      <w:pPr>
        <w:pStyle w:val="42"/>
        <w:numPr>
          <w:ilvl w:val="0"/>
          <w:numId w:val="8"/>
        </w:numPr>
        <w:spacing w:after="0" w:line="360" w:lineRule="auto"/>
        <w:ind w:firstLine="633" w:firstLineChars="0"/>
        <w:rPr>
          <w:rFonts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网站首页下方的版权所有体现公司名称；</w:t>
      </w:r>
    </w:p>
    <w:p w14:paraId="61A8A72B">
      <w:pPr>
        <w:pStyle w:val="42"/>
        <w:numPr>
          <w:ilvl w:val="0"/>
          <w:numId w:val="7"/>
        </w:numPr>
        <w:spacing w:after="0" w:line="360" w:lineRule="auto"/>
        <w:ind w:firstLineChars="0"/>
        <w:rPr>
          <w:rFonts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第三方书面证据包含：以国家相关部门颁发的书面证明为准，包括营业执照、ICP</w:t>
      </w:r>
      <w:r>
        <w:rPr>
          <w:rFonts w:hint="eastAsia"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备案信息、组织机构代码证、股权证明、公司间关系证明。</w:t>
      </w:r>
    </w:p>
    <w:p w14:paraId="1000FF8F">
      <w:pPr>
        <w:pStyle w:val="42"/>
        <w:numPr>
          <w:ilvl w:val="0"/>
          <w:numId w:val="7"/>
        </w:numPr>
        <w:spacing w:after="0" w:line="360" w:lineRule="auto"/>
        <w:ind w:firstLineChars="0"/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网站信息：以前台实际查询结果为准，包括网站内容截图及录像、域名信息、有效的备案信息、网页跳转情况、360</w:t>
      </w:r>
      <w:r>
        <w:rPr>
          <w:rFonts w:hint="eastAsia"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大搜索结果等。</w:t>
      </w:r>
    </w:p>
    <w:p w14:paraId="7B842DB8">
      <w:pPr>
        <w:pStyle w:val="3"/>
        <w:rPr>
          <w:rFonts w:ascii="微软雅黑" w:hAnsi="微软雅黑" w:eastAsia="微软雅黑"/>
          <w:sz w:val="22"/>
          <w:szCs w:val="22"/>
        </w:rPr>
      </w:pPr>
      <w:bookmarkStart w:id="7" w:name="_Toc181965855"/>
      <w:r>
        <w:rPr>
          <w:rFonts w:ascii="微软雅黑" w:hAnsi="微软雅黑" w:eastAsia="微软雅黑"/>
          <w:sz w:val="22"/>
          <w:szCs w:val="22"/>
        </w:rPr>
        <w:t>3.</w:t>
      </w:r>
      <w:r>
        <w:rPr>
          <w:rFonts w:hint="eastAsia" w:ascii="微软雅黑" w:hAnsi="微软雅黑" w:eastAsia="微软雅黑"/>
          <w:sz w:val="22"/>
          <w:szCs w:val="22"/>
        </w:rPr>
        <w:t>2 业绩调整</w:t>
      </w:r>
      <w:bookmarkEnd w:id="7"/>
    </w:p>
    <w:p w14:paraId="3F2AF5B1">
      <w:pPr>
        <w:spacing w:line="360" w:lineRule="auto"/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适用场景：</w:t>
      </w:r>
      <w:r>
        <w:rPr>
          <w:rFonts w:hint="eastAsia" w:ascii="微软雅黑" w:hAnsi="微软雅黑" w:eastAsia="微软雅黑"/>
          <w:sz w:val="20"/>
          <w:szCs w:val="20"/>
        </w:rPr>
        <w:t>违规判定成立后，涉及当季度的违规判罚金额将在次季度进行业绩调整。</w:t>
      </w:r>
    </w:p>
    <w:p w14:paraId="64D64DF0">
      <w:pPr>
        <w:spacing w:line="360" w:lineRule="auto"/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因效果及</w:t>
      </w:r>
      <w:r>
        <w:rPr>
          <w:rFonts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4A</w:t>
      </w:r>
      <w:r>
        <w:rPr>
          <w:rFonts w:hint="eastAsia"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渠道和本地渠道配返比例和系统逻辑的差异，所有业绩调整需以毛净收入为准；</w:t>
      </w:r>
      <w:r>
        <w:rPr>
          <w:rFonts w:ascii="微软雅黑" w:hAnsi="微软雅黑" w:eastAsia="微软雅黑"/>
          <w:sz w:val="20"/>
          <w:szCs w:val="20"/>
        </w:rPr>
        <w:t xml:space="preserve"> </w:t>
      </w:r>
    </w:p>
    <w:p w14:paraId="122BD699">
      <w:pPr>
        <w:spacing w:line="360" w:lineRule="auto"/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1）每个季度第二个月中旬，客户管理组整理当季度涉及业绩调整客户明细（上季度的违规），发送</w:t>
      </w:r>
      <w:r>
        <w:rPr>
          <w:rFonts w:hint="eastAsia" w:ascii="微软雅黑" w:hAnsi="微软雅黑" w:eastAsia="微软雅黑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《销售业绩调整申请单》至</w:t>
      </w:r>
      <w:r>
        <w:rPr>
          <w:rFonts w:hint="eastAsia" w:ascii="微软雅黑" w:hAnsi="微软雅黑" w:eastAsia="微软雅黑"/>
          <w:sz w:val="20"/>
          <w:szCs w:val="20"/>
        </w:rPr>
        <w:t>对应行业部销售及leader，与违规方确认客户的全部扣罚情况。</w:t>
      </w:r>
    </w:p>
    <w:p w14:paraId="0C5833BD">
      <w:pPr>
        <w:spacing w:line="360" w:lineRule="auto"/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2）若有异议，请于规定时间内反馈，若未反馈异议，视同认可扣罚金额，客户管理组将发送对应leader及相关负责人线下邮件审批流程。</w:t>
      </w:r>
    </w:p>
    <w:p w14:paraId="69D8BF80">
      <w:pPr>
        <w:spacing w:line="360" w:lineRule="auto"/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3）季度末月底前客户管理组完成全部审批，同步最终业绩调整结果至业务分析组及财务等，待完成最终业绩调整。</w:t>
      </w:r>
    </w:p>
    <w:p w14:paraId="0D28C405">
      <w:pPr>
        <w:spacing w:line="360" w:lineRule="auto"/>
        <w:ind w:firstLine="400" w:firstLineChars="2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 w:cs="Arial"/>
          <w:sz w:val="20"/>
          <w:szCs w:val="20"/>
        </w:rPr>
        <w:t>4）</w:t>
      </w:r>
      <w:r>
        <w:rPr>
          <w:rFonts w:ascii="微软雅黑" w:hAnsi="微软雅黑" w:eastAsia="微软雅黑"/>
          <w:sz w:val="20"/>
          <w:szCs w:val="20"/>
        </w:rPr>
        <w:t>违规方被确认违规需要归还客户时，应主动与客户沟通并负责帮助客户顺利的</w:t>
      </w:r>
      <w:r>
        <w:rPr>
          <w:rFonts w:hint="eastAsia" w:ascii="微软雅黑" w:hAnsi="微软雅黑" w:eastAsia="微软雅黑"/>
          <w:sz w:val="20"/>
          <w:szCs w:val="20"/>
        </w:rPr>
        <w:t>与</w:t>
      </w:r>
      <w:r>
        <w:rPr>
          <w:rFonts w:ascii="微软雅黑" w:hAnsi="微软雅黑" w:eastAsia="微软雅黑"/>
          <w:sz w:val="20"/>
          <w:szCs w:val="20"/>
        </w:rPr>
        <w:t>其</w:t>
      </w:r>
      <w:r>
        <w:rPr>
          <w:rFonts w:hint="eastAsia" w:ascii="微软雅黑" w:hAnsi="微软雅黑" w:eastAsia="微软雅黑"/>
          <w:sz w:val="20"/>
          <w:szCs w:val="20"/>
        </w:rPr>
        <w:t>对应的行业群组</w:t>
      </w:r>
      <w:r>
        <w:rPr>
          <w:rFonts w:ascii="微软雅黑" w:hAnsi="微软雅黑" w:eastAsia="微软雅黑"/>
          <w:sz w:val="20"/>
          <w:szCs w:val="20"/>
        </w:rPr>
        <w:t>重新合作。</w:t>
      </w:r>
    </w:p>
    <w:p w14:paraId="7376F5A2">
      <w:pPr>
        <w:pStyle w:val="2"/>
        <w:jc w:val="center"/>
        <w:rPr>
          <w:rFonts w:ascii="微软雅黑" w:hAnsi="微软雅黑" w:eastAsia="微软雅黑"/>
          <w:sz w:val="24"/>
          <w:szCs w:val="24"/>
        </w:rPr>
      </w:pPr>
      <w:bookmarkStart w:id="8" w:name="_Toc181965859"/>
      <w:r>
        <w:rPr>
          <w:rFonts w:hint="eastAsia" w:ascii="微软雅黑" w:hAnsi="微软雅黑" w:eastAsia="微软雅黑"/>
          <w:sz w:val="24"/>
          <w:szCs w:val="24"/>
        </w:rPr>
        <w:t>附一、委托推广证明模板</w:t>
      </w:r>
      <w:bookmarkEnd w:id="8"/>
    </w:p>
    <w:p w14:paraId="35BA4ECC">
      <w:pPr>
        <w:jc w:val="center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委托推广证明</w:t>
      </w:r>
    </w:p>
    <w:p w14:paraId="476DC731">
      <w:pPr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兹证明“</w:t>
      </w:r>
      <w:r>
        <w:rPr>
          <w:rFonts w:ascii="微软雅黑" w:hAnsi="微软雅黑" w:eastAsia="微软雅黑"/>
          <w:sz w:val="20"/>
          <w:szCs w:val="20"/>
        </w:rPr>
        <w:t>xxx网站”（URL地址：xxx</w:t>
      </w:r>
      <w:r>
        <w:rPr>
          <w:rFonts w:hint="eastAsia" w:ascii="微软雅黑" w:hAnsi="微软雅黑" w:eastAsia="微软雅黑"/>
          <w:sz w:val="20"/>
          <w:szCs w:val="20"/>
        </w:rPr>
        <w:t>，</w:t>
      </w:r>
      <w:r>
        <w:rPr>
          <w:rFonts w:ascii="微软雅黑" w:hAnsi="微软雅黑" w:eastAsia="微软雅黑"/>
          <w:sz w:val="20"/>
          <w:szCs w:val="20"/>
        </w:rPr>
        <w:t>以下简称该网站）为我司</w:t>
      </w:r>
      <w:r>
        <w:rPr>
          <w:rFonts w:hint="eastAsia" w:ascii="微软雅黑" w:hAnsi="微软雅黑" w:eastAsia="微软雅黑"/>
          <w:sz w:val="20"/>
          <w:szCs w:val="20"/>
        </w:rPr>
        <w:t>x</w:t>
      </w:r>
      <w:r>
        <w:rPr>
          <w:rFonts w:ascii="微软雅黑" w:hAnsi="微软雅黑" w:eastAsia="微软雅黑"/>
          <w:sz w:val="20"/>
          <w:szCs w:val="20"/>
        </w:rPr>
        <w:t>xx（此处填ICP备案主体名称）   所有，现委托xxx公司为该网站在360平台进行推广。两公司共同承诺该网站信息/内容真实、合法且不侵犯任何第三方的合法权益。如有违反，由两公司对360公司（或其关联公司）因此产生的全部损失承担连带赔偿责任。</w:t>
      </w:r>
    </w:p>
    <w:p w14:paraId="6060CD58">
      <w:pPr>
        <w:ind w:firstLine="3600" w:firstLineChars="18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资质主体公司名称</w:t>
      </w:r>
      <w:r>
        <w:rPr>
          <w:rFonts w:ascii="微软雅黑" w:hAnsi="微软雅黑" w:eastAsia="微软雅黑"/>
          <w:sz w:val="20"/>
          <w:szCs w:val="20"/>
        </w:rPr>
        <w:t>&amp;加盖资质公章及委托推广方公章</w:t>
      </w:r>
    </w:p>
    <w:p w14:paraId="39AB81C9">
      <w:pPr>
        <w:pStyle w:val="2"/>
        <w:jc w:val="center"/>
        <w:rPr>
          <w:rFonts w:ascii="微软雅黑" w:hAnsi="微软雅黑"/>
        </w:rPr>
      </w:pPr>
      <w:r>
        <w:rPr>
          <w:rFonts w:hint="eastAsia" w:ascii="微软雅黑" w:hAnsi="微软雅黑" w:eastAsia="微软雅黑"/>
          <w:sz w:val="24"/>
          <w:szCs w:val="24"/>
        </w:rPr>
        <w:t>附二、销售业绩调整申请单</w:t>
      </w:r>
    </w:p>
    <w:p w14:paraId="039ED437">
      <w:pPr>
        <w:spacing w:line="360" w:lineRule="auto"/>
        <w:ind w:left="440" w:leftChars="200"/>
        <w:rPr>
          <w:rFonts w:ascii="微软雅黑" w:hAnsi="微软雅黑" w:eastAsia="微软雅黑"/>
          <w:b/>
          <w:sz w:val="20"/>
        </w:rPr>
      </w:pPr>
      <w:r>
        <w:rPr>
          <w:rFonts w:hint="eastAsia" w:ascii="微软雅黑" w:hAnsi="微软雅黑" w:eastAsia="微软雅黑"/>
          <w:szCs w:val="21"/>
        </w:rPr>
        <w:object>
          <v:shape id="_x0000_i1025" o:spt="75" type="#_x0000_t75" style="height:48pt;width:64.8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04C30C8F">
      <w:pPr>
        <w:ind w:firstLine="3600" w:firstLineChars="1800"/>
        <w:rPr>
          <w:rFonts w:ascii="微软雅黑" w:hAnsi="微软雅黑" w:eastAsia="微软雅黑"/>
          <w:sz w:val="20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A20AA0"/>
    <w:multiLevelType w:val="multilevel"/>
    <w:tmpl w:val="0AA20AA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C2A7D82"/>
    <w:multiLevelType w:val="multilevel"/>
    <w:tmpl w:val="2C2A7D82"/>
    <w:lvl w:ilvl="0" w:tentative="0">
      <w:start w:val="1"/>
      <w:numFmt w:val="decimalEnclosedCircle"/>
      <w:lvlText w:val="%1"/>
      <w:lvlJc w:val="left"/>
      <w:pPr>
        <w:ind w:left="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480" w:hanging="420"/>
      </w:pPr>
    </w:lvl>
    <w:lvl w:ilvl="2" w:tentative="0">
      <w:start w:val="1"/>
      <w:numFmt w:val="lowerRoman"/>
      <w:lvlText w:val="%3."/>
      <w:lvlJc w:val="right"/>
      <w:pPr>
        <w:ind w:left="900" w:hanging="420"/>
      </w:pPr>
    </w:lvl>
    <w:lvl w:ilvl="3" w:tentative="0">
      <w:start w:val="1"/>
      <w:numFmt w:val="decimal"/>
      <w:lvlText w:val="%4."/>
      <w:lvlJc w:val="left"/>
      <w:pPr>
        <w:ind w:left="1320" w:hanging="420"/>
      </w:pPr>
    </w:lvl>
    <w:lvl w:ilvl="4" w:tentative="0">
      <w:start w:val="1"/>
      <w:numFmt w:val="lowerLetter"/>
      <w:lvlText w:val="%5)"/>
      <w:lvlJc w:val="left"/>
      <w:pPr>
        <w:ind w:left="1740" w:hanging="420"/>
      </w:pPr>
    </w:lvl>
    <w:lvl w:ilvl="5" w:tentative="0">
      <w:start w:val="1"/>
      <w:numFmt w:val="lowerRoman"/>
      <w:lvlText w:val="%6."/>
      <w:lvlJc w:val="right"/>
      <w:pPr>
        <w:ind w:left="2160" w:hanging="420"/>
      </w:pPr>
    </w:lvl>
    <w:lvl w:ilvl="6" w:tentative="0">
      <w:start w:val="1"/>
      <w:numFmt w:val="decimal"/>
      <w:lvlText w:val="%7."/>
      <w:lvlJc w:val="left"/>
      <w:pPr>
        <w:ind w:left="2580" w:hanging="420"/>
      </w:pPr>
    </w:lvl>
    <w:lvl w:ilvl="7" w:tentative="0">
      <w:start w:val="1"/>
      <w:numFmt w:val="lowerLetter"/>
      <w:lvlText w:val="%8)"/>
      <w:lvlJc w:val="left"/>
      <w:pPr>
        <w:ind w:left="3000" w:hanging="420"/>
      </w:pPr>
    </w:lvl>
    <w:lvl w:ilvl="8" w:tentative="0">
      <w:start w:val="1"/>
      <w:numFmt w:val="lowerRoman"/>
      <w:lvlText w:val="%9."/>
      <w:lvlJc w:val="right"/>
      <w:pPr>
        <w:ind w:left="3420" w:hanging="420"/>
      </w:pPr>
    </w:lvl>
  </w:abstractNum>
  <w:abstractNum w:abstractNumId="2">
    <w:nsid w:val="3F1D0D0F"/>
    <w:multiLevelType w:val="multilevel"/>
    <w:tmpl w:val="3F1D0D0F"/>
    <w:lvl w:ilvl="0" w:tentative="0">
      <w:start w:val="1"/>
      <w:numFmt w:val="bullet"/>
      <w:lvlText w:val="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3">
    <w:nsid w:val="3FD16FB8"/>
    <w:multiLevelType w:val="multilevel"/>
    <w:tmpl w:val="3FD16FB8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486E5506"/>
    <w:multiLevelType w:val="multilevel"/>
    <w:tmpl w:val="486E5506"/>
    <w:lvl w:ilvl="0" w:tentative="0">
      <w:start w:val="4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C4762D6"/>
    <w:multiLevelType w:val="multilevel"/>
    <w:tmpl w:val="5C4762D6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entative="0">
      <w:start w:val="2"/>
      <w:numFmt w:val="japaneseCounting"/>
      <w:lvlText w:val="%3、"/>
      <w:lvlJc w:val="left"/>
      <w:pPr>
        <w:ind w:left="1560" w:hanging="7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1CF12FF"/>
    <w:multiLevelType w:val="multilevel"/>
    <w:tmpl w:val="61CF12FF"/>
    <w:lvl w:ilvl="0" w:tentative="0">
      <w:start w:val="1"/>
      <w:numFmt w:val="bullet"/>
      <w:lvlText w:val=""/>
      <w:lvlJc w:val="left"/>
      <w:pPr>
        <w:ind w:left="6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00" w:hanging="420"/>
      </w:pPr>
      <w:rPr>
        <w:rFonts w:hint="default" w:ascii="Wingdings" w:hAnsi="Wingdings"/>
      </w:rPr>
    </w:lvl>
  </w:abstractNum>
  <w:abstractNum w:abstractNumId="7">
    <w:nsid w:val="70A24AF2"/>
    <w:multiLevelType w:val="multilevel"/>
    <w:tmpl w:val="70A24AF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52E"/>
    <w:rsid w:val="000014AA"/>
    <w:rsid w:val="0000279A"/>
    <w:rsid w:val="00003909"/>
    <w:rsid w:val="00006449"/>
    <w:rsid w:val="000075B0"/>
    <w:rsid w:val="000154E9"/>
    <w:rsid w:val="00017294"/>
    <w:rsid w:val="0001777B"/>
    <w:rsid w:val="00021924"/>
    <w:rsid w:val="00022A09"/>
    <w:rsid w:val="00023B65"/>
    <w:rsid w:val="00024C7B"/>
    <w:rsid w:val="0002612B"/>
    <w:rsid w:val="000325B5"/>
    <w:rsid w:val="0003427E"/>
    <w:rsid w:val="00036E20"/>
    <w:rsid w:val="000374DD"/>
    <w:rsid w:val="000378C1"/>
    <w:rsid w:val="0004616B"/>
    <w:rsid w:val="0005097F"/>
    <w:rsid w:val="00051768"/>
    <w:rsid w:val="00055DEF"/>
    <w:rsid w:val="00060CDC"/>
    <w:rsid w:val="00062F81"/>
    <w:rsid w:val="000647DF"/>
    <w:rsid w:val="00065609"/>
    <w:rsid w:val="00066DEB"/>
    <w:rsid w:val="000729D3"/>
    <w:rsid w:val="00073B06"/>
    <w:rsid w:val="00074CC3"/>
    <w:rsid w:val="000770F2"/>
    <w:rsid w:val="00083B42"/>
    <w:rsid w:val="00083C87"/>
    <w:rsid w:val="0008580A"/>
    <w:rsid w:val="0008617B"/>
    <w:rsid w:val="00086620"/>
    <w:rsid w:val="0008746E"/>
    <w:rsid w:val="00087B8A"/>
    <w:rsid w:val="00087F26"/>
    <w:rsid w:val="00090841"/>
    <w:rsid w:val="00091032"/>
    <w:rsid w:val="00091955"/>
    <w:rsid w:val="00092272"/>
    <w:rsid w:val="00093672"/>
    <w:rsid w:val="00095433"/>
    <w:rsid w:val="000962F4"/>
    <w:rsid w:val="000976B7"/>
    <w:rsid w:val="000A0726"/>
    <w:rsid w:val="000A0932"/>
    <w:rsid w:val="000A19AD"/>
    <w:rsid w:val="000A26BE"/>
    <w:rsid w:val="000A32F3"/>
    <w:rsid w:val="000A38AF"/>
    <w:rsid w:val="000A3B14"/>
    <w:rsid w:val="000A4416"/>
    <w:rsid w:val="000A6C9A"/>
    <w:rsid w:val="000A7006"/>
    <w:rsid w:val="000B0C7C"/>
    <w:rsid w:val="000B420A"/>
    <w:rsid w:val="000B4EA8"/>
    <w:rsid w:val="000B5BA6"/>
    <w:rsid w:val="000B7819"/>
    <w:rsid w:val="000B7D4E"/>
    <w:rsid w:val="000C0271"/>
    <w:rsid w:val="000C5EF4"/>
    <w:rsid w:val="000C7E90"/>
    <w:rsid w:val="000D1CCD"/>
    <w:rsid w:val="000D541C"/>
    <w:rsid w:val="000D7382"/>
    <w:rsid w:val="000E0C90"/>
    <w:rsid w:val="000E6D70"/>
    <w:rsid w:val="000F4856"/>
    <w:rsid w:val="0010301F"/>
    <w:rsid w:val="00104B63"/>
    <w:rsid w:val="00105524"/>
    <w:rsid w:val="00107618"/>
    <w:rsid w:val="00111B17"/>
    <w:rsid w:val="00111D56"/>
    <w:rsid w:val="00111E32"/>
    <w:rsid w:val="001130ED"/>
    <w:rsid w:val="001134BA"/>
    <w:rsid w:val="00113D8B"/>
    <w:rsid w:val="00117593"/>
    <w:rsid w:val="00117CCF"/>
    <w:rsid w:val="001215BC"/>
    <w:rsid w:val="00125A60"/>
    <w:rsid w:val="00130EEE"/>
    <w:rsid w:val="00131503"/>
    <w:rsid w:val="00131B75"/>
    <w:rsid w:val="00132271"/>
    <w:rsid w:val="00134BB8"/>
    <w:rsid w:val="00134EBF"/>
    <w:rsid w:val="0013718D"/>
    <w:rsid w:val="00140C02"/>
    <w:rsid w:val="00140CDF"/>
    <w:rsid w:val="001413CC"/>
    <w:rsid w:val="00142096"/>
    <w:rsid w:val="00144838"/>
    <w:rsid w:val="001452B4"/>
    <w:rsid w:val="00145F42"/>
    <w:rsid w:val="001534B1"/>
    <w:rsid w:val="00153BE6"/>
    <w:rsid w:val="00156A36"/>
    <w:rsid w:val="00157065"/>
    <w:rsid w:val="00162D36"/>
    <w:rsid w:val="00164533"/>
    <w:rsid w:val="00167711"/>
    <w:rsid w:val="00172580"/>
    <w:rsid w:val="00173387"/>
    <w:rsid w:val="00175B85"/>
    <w:rsid w:val="001777E0"/>
    <w:rsid w:val="00177B91"/>
    <w:rsid w:val="00177CD9"/>
    <w:rsid w:val="00180431"/>
    <w:rsid w:val="00181A65"/>
    <w:rsid w:val="001825AC"/>
    <w:rsid w:val="00182D11"/>
    <w:rsid w:val="00182E4F"/>
    <w:rsid w:val="00185FE0"/>
    <w:rsid w:val="00187004"/>
    <w:rsid w:val="001944FE"/>
    <w:rsid w:val="001950C7"/>
    <w:rsid w:val="00196C02"/>
    <w:rsid w:val="001A3A35"/>
    <w:rsid w:val="001A3E69"/>
    <w:rsid w:val="001A55A2"/>
    <w:rsid w:val="001A6B8F"/>
    <w:rsid w:val="001B4194"/>
    <w:rsid w:val="001B7D0D"/>
    <w:rsid w:val="001C1023"/>
    <w:rsid w:val="001C1165"/>
    <w:rsid w:val="001C32EA"/>
    <w:rsid w:val="001C4563"/>
    <w:rsid w:val="001C54A3"/>
    <w:rsid w:val="001C699A"/>
    <w:rsid w:val="001D1ACC"/>
    <w:rsid w:val="001E0327"/>
    <w:rsid w:val="001E0AFD"/>
    <w:rsid w:val="001E2430"/>
    <w:rsid w:val="001E2A0C"/>
    <w:rsid w:val="001E35A4"/>
    <w:rsid w:val="001E563B"/>
    <w:rsid w:val="001F116A"/>
    <w:rsid w:val="001F4A95"/>
    <w:rsid w:val="0020014A"/>
    <w:rsid w:val="0020064D"/>
    <w:rsid w:val="0020542A"/>
    <w:rsid w:val="002105CC"/>
    <w:rsid w:val="00210935"/>
    <w:rsid w:val="00211656"/>
    <w:rsid w:val="00211837"/>
    <w:rsid w:val="00216951"/>
    <w:rsid w:val="00220034"/>
    <w:rsid w:val="00223D63"/>
    <w:rsid w:val="0023029E"/>
    <w:rsid w:val="002306DD"/>
    <w:rsid w:val="00230B9A"/>
    <w:rsid w:val="00231661"/>
    <w:rsid w:val="00232437"/>
    <w:rsid w:val="00236C0F"/>
    <w:rsid w:val="00237192"/>
    <w:rsid w:val="00237313"/>
    <w:rsid w:val="0024127A"/>
    <w:rsid w:val="00242ACE"/>
    <w:rsid w:val="00243BFB"/>
    <w:rsid w:val="002461B4"/>
    <w:rsid w:val="00246ADC"/>
    <w:rsid w:val="00247800"/>
    <w:rsid w:val="00250639"/>
    <w:rsid w:val="00251E21"/>
    <w:rsid w:val="00254865"/>
    <w:rsid w:val="00254DE8"/>
    <w:rsid w:val="00260E3D"/>
    <w:rsid w:val="00260FFF"/>
    <w:rsid w:val="00263A2E"/>
    <w:rsid w:val="00265EF6"/>
    <w:rsid w:val="00270EB0"/>
    <w:rsid w:val="002778D0"/>
    <w:rsid w:val="00281A49"/>
    <w:rsid w:val="002831D7"/>
    <w:rsid w:val="002849E0"/>
    <w:rsid w:val="00286895"/>
    <w:rsid w:val="00292FB1"/>
    <w:rsid w:val="0029422E"/>
    <w:rsid w:val="00297E38"/>
    <w:rsid w:val="002A366A"/>
    <w:rsid w:val="002A58A4"/>
    <w:rsid w:val="002B7178"/>
    <w:rsid w:val="002C0103"/>
    <w:rsid w:val="002C01E1"/>
    <w:rsid w:val="002C2F6F"/>
    <w:rsid w:val="002C327D"/>
    <w:rsid w:val="002C4887"/>
    <w:rsid w:val="002C6499"/>
    <w:rsid w:val="002D06E6"/>
    <w:rsid w:val="002D0EAE"/>
    <w:rsid w:val="002D222C"/>
    <w:rsid w:val="002D2597"/>
    <w:rsid w:val="002D3F3E"/>
    <w:rsid w:val="002D45AE"/>
    <w:rsid w:val="002D5C20"/>
    <w:rsid w:val="002D7EFE"/>
    <w:rsid w:val="002E2F8F"/>
    <w:rsid w:val="002E4875"/>
    <w:rsid w:val="002E5FDA"/>
    <w:rsid w:val="002E6519"/>
    <w:rsid w:val="002E7603"/>
    <w:rsid w:val="002E7669"/>
    <w:rsid w:val="002F11A2"/>
    <w:rsid w:val="002F27C9"/>
    <w:rsid w:val="00300CE4"/>
    <w:rsid w:val="00302759"/>
    <w:rsid w:val="00302BC0"/>
    <w:rsid w:val="00303106"/>
    <w:rsid w:val="003031C7"/>
    <w:rsid w:val="00303BD7"/>
    <w:rsid w:val="003043D0"/>
    <w:rsid w:val="00306319"/>
    <w:rsid w:val="003135FA"/>
    <w:rsid w:val="00313C34"/>
    <w:rsid w:val="00316890"/>
    <w:rsid w:val="00324165"/>
    <w:rsid w:val="00326DC6"/>
    <w:rsid w:val="003272AE"/>
    <w:rsid w:val="003272C1"/>
    <w:rsid w:val="00331561"/>
    <w:rsid w:val="003336F2"/>
    <w:rsid w:val="00336DB8"/>
    <w:rsid w:val="00345BC4"/>
    <w:rsid w:val="00351D2C"/>
    <w:rsid w:val="00352612"/>
    <w:rsid w:val="00354714"/>
    <w:rsid w:val="00357CE5"/>
    <w:rsid w:val="003602CC"/>
    <w:rsid w:val="00360EF9"/>
    <w:rsid w:val="00361062"/>
    <w:rsid w:val="00361547"/>
    <w:rsid w:val="003654DD"/>
    <w:rsid w:val="00366D49"/>
    <w:rsid w:val="00375397"/>
    <w:rsid w:val="00377613"/>
    <w:rsid w:val="00380963"/>
    <w:rsid w:val="00380F82"/>
    <w:rsid w:val="00383207"/>
    <w:rsid w:val="00384CD3"/>
    <w:rsid w:val="00385229"/>
    <w:rsid w:val="0038564A"/>
    <w:rsid w:val="003907BD"/>
    <w:rsid w:val="00392B54"/>
    <w:rsid w:val="003968AA"/>
    <w:rsid w:val="003A1366"/>
    <w:rsid w:val="003A17B4"/>
    <w:rsid w:val="003A2176"/>
    <w:rsid w:val="003A3A54"/>
    <w:rsid w:val="003A48D1"/>
    <w:rsid w:val="003A65E3"/>
    <w:rsid w:val="003B06E1"/>
    <w:rsid w:val="003B1882"/>
    <w:rsid w:val="003B3C37"/>
    <w:rsid w:val="003B529F"/>
    <w:rsid w:val="003C43A6"/>
    <w:rsid w:val="003C7CA9"/>
    <w:rsid w:val="003D2A44"/>
    <w:rsid w:val="003D3EDA"/>
    <w:rsid w:val="003D4467"/>
    <w:rsid w:val="003D5AF6"/>
    <w:rsid w:val="003E1479"/>
    <w:rsid w:val="003E1786"/>
    <w:rsid w:val="003E20D5"/>
    <w:rsid w:val="003E21BC"/>
    <w:rsid w:val="003E37A4"/>
    <w:rsid w:val="003E4BA7"/>
    <w:rsid w:val="003E5374"/>
    <w:rsid w:val="003E6CAA"/>
    <w:rsid w:val="003E7AD3"/>
    <w:rsid w:val="003F08B0"/>
    <w:rsid w:val="003F2BE8"/>
    <w:rsid w:val="003F629B"/>
    <w:rsid w:val="00404A5F"/>
    <w:rsid w:val="00404D23"/>
    <w:rsid w:val="00410E91"/>
    <w:rsid w:val="00412885"/>
    <w:rsid w:val="004222A0"/>
    <w:rsid w:val="0042326B"/>
    <w:rsid w:val="00424330"/>
    <w:rsid w:val="0042551D"/>
    <w:rsid w:val="004256BF"/>
    <w:rsid w:val="0042580C"/>
    <w:rsid w:val="00430678"/>
    <w:rsid w:val="004318F8"/>
    <w:rsid w:val="00432E18"/>
    <w:rsid w:val="00433C91"/>
    <w:rsid w:val="00436C80"/>
    <w:rsid w:val="00457079"/>
    <w:rsid w:val="00462673"/>
    <w:rsid w:val="00462F48"/>
    <w:rsid w:val="00463FE9"/>
    <w:rsid w:val="00466324"/>
    <w:rsid w:val="00467F83"/>
    <w:rsid w:val="004714B8"/>
    <w:rsid w:val="00473A07"/>
    <w:rsid w:val="00484101"/>
    <w:rsid w:val="00484722"/>
    <w:rsid w:val="00485204"/>
    <w:rsid w:val="00496AFC"/>
    <w:rsid w:val="00496D09"/>
    <w:rsid w:val="004A1B7D"/>
    <w:rsid w:val="004A2898"/>
    <w:rsid w:val="004A36AA"/>
    <w:rsid w:val="004A4AC0"/>
    <w:rsid w:val="004B1C6A"/>
    <w:rsid w:val="004B4B4D"/>
    <w:rsid w:val="004B6A3B"/>
    <w:rsid w:val="004B7A93"/>
    <w:rsid w:val="004C0BDF"/>
    <w:rsid w:val="004C3F66"/>
    <w:rsid w:val="004C49D7"/>
    <w:rsid w:val="004C535B"/>
    <w:rsid w:val="004C5CDE"/>
    <w:rsid w:val="004C600E"/>
    <w:rsid w:val="004C6B32"/>
    <w:rsid w:val="004C6F07"/>
    <w:rsid w:val="004C70A7"/>
    <w:rsid w:val="004C744B"/>
    <w:rsid w:val="004D15CC"/>
    <w:rsid w:val="004D2C1E"/>
    <w:rsid w:val="004D642F"/>
    <w:rsid w:val="004D74A3"/>
    <w:rsid w:val="004D7C9C"/>
    <w:rsid w:val="004E2BA3"/>
    <w:rsid w:val="004E3795"/>
    <w:rsid w:val="004E477D"/>
    <w:rsid w:val="004F03A1"/>
    <w:rsid w:val="004F3276"/>
    <w:rsid w:val="004F52AC"/>
    <w:rsid w:val="004F588B"/>
    <w:rsid w:val="0050282B"/>
    <w:rsid w:val="00504D26"/>
    <w:rsid w:val="00512A0B"/>
    <w:rsid w:val="0051449B"/>
    <w:rsid w:val="005147D9"/>
    <w:rsid w:val="005169B5"/>
    <w:rsid w:val="00516E00"/>
    <w:rsid w:val="0052250A"/>
    <w:rsid w:val="00530ACB"/>
    <w:rsid w:val="00532344"/>
    <w:rsid w:val="005328D9"/>
    <w:rsid w:val="0053311D"/>
    <w:rsid w:val="005373B4"/>
    <w:rsid w:val="00537BC2"/>
    <w:rsid w:val="00537E7E"/>
    <w:rsid w:val="00540ABF"/>
    <w:rsid w:val="005503B6"/>
    <w:rsid w:val="00554FBF"/>
    <w:rsid w:val="00560986"/>
    <w:rsid w:val="00563EE4"/>
    <w:rsid w:val="00564AE5"/>
    <w:rsid w:val="00564ECB"/>
    <w:rsid w:val="00567AEA"/>
    <w:rsid w:val="0057362A"/>
    <w:rsid w:val="005751C1"/>
    <w:rsid w:val="00580862"/>
    <w:rsid w:val="00580BB7"/>
    <w:rsid w:val="0058164E"/>
    <w:rsid w:val="00581FC7"/>
    <w:rsid w:val="0058357A"/>
    <w:rsid w:val="005902F3"/>
    <w:rsid w:val="0059434D"/>
    <w:rsid w:val="00594963"/>
    <w:rsid w:val="00597180"/>
    <w:rsid w:val="00597AB0"/>
    <w:rsid w:val="005A0D28"/>
    <w:rsid w:val="005A7AE3"/>
    <w:rsid w:val="005B22F6"/>
    <w:rsid w:val="005B434F"/>
    <w:rsid w:val="005B6E9F"/>
    <w:rsid w:val="005C04AE"/>
    <w:rsid w:val="005C06F8"/>
    <w:rsid w:val="005C31E1"/>
    <w:rsid w:val="005C697A"/>
    <w:rsid w:val="005D1980"/>
    <w:rsid w:val="005D3663"/>
    <w:rsid w:val="005D4FF5"/>
    <w:rsid w:val="005D5113"/>
    <w:rsid w:val="005E2C02"/>
    <w:rsid w:val="005E54B6"/>
    <w:rsid w:val="005E7989"/>
    <w:rsid w:val="005F2793"/>
    <w:rsid w:val="005F3A92"/>
    <w:rsid w:val="005F58F1"/>
    <w:rsid w:val="00602D55"/>
    <w:rsid w:val="00602EC7"/>
    <w:rsid w:val="0060388E"/>
    <w:rsid w:val="00605EFE"/>
    <w:rsid w:val="006119CB"/>
    <w:rsid w:val="00616BB4"/>
    <w:rsid w:val="00616D3D"/>
    <w:rsid w:val="00617BE1"/>
    <w:rsid w:val="0062000C"/>
    <w:rsid w:val="0062176A"/>
    <w:rsid w:val="006222C0"/>
    <w:rsid w:val="00626193"/>
    <w:rsid w:val="00626E53"/>
    <w:rsid w:val="00630558"/>
    <w:rsid w:val="00630D99"/>
    <w:rsid w:val="00632D7D"/>
    <w:rsid w:val="00634730"/>
    <w:rsid w:val="00634927"/>
    <w:rsid w:val="0063507D"/>
    <w:rsid w:val="00637C1B"/>
    <w:rsid w:val="00640843"/>
    <w:rsid w:val="00641904"/>
    <w:rsid w:val="00643AE6"/>
    <w:rsid w:val="00651537"/>
    <w:rsid w:val="006554B5"/>
    <w:rsid w:val="0065648A"/>
    <w:rsid w:val="00662B8E"/>
    <w:rsid w:val="006649B7"/>
    <w:rsid w:val="006669F5"/>
    <w:rsid w:val="00666A17"/>
    <w:rsid w:val="006727AE"/>
    <w:rsid w:val="00672A0D"/>
    <w:rsid w:val="006730ED"/>
    <w:rsid w:val="00676B10"/>
    <w:rsid w:val="0068026F"/>
    <w:rsid w:val="00680FEA"/>
    <w:rsid w:val="00681131"/>
    <w:rsid w:val="00681E56"/>
    <w:rsid w:val="006853C0"/>
    <w:rsid w:val="00685D04"/>
    <w:rsid w:val="00686135"/>
    <w:rsid w:val="006876AC"/>
    <w:rsid w:val="00692512"/>
    <w:rsid w:val="0069543F"/>
    <w:rsid w:val="00696CC0"/>
    <w:rsid w:val="006A1959"/>
    <w:rsid w:val="006A2069"/>
    <w:rsid w:val="006A2F41"/>
    <w:rsid w:val="006A3D61"/>
    <w:rsid w:val="006A5A32"/>
    <w:rsid w:val="006A7FC0"/>
    <w:rsid w:val="006B095B"/>
    <w:rsid w:val="006B218B"/>
    <w:rsid w:val="006B2D66"/>
    <w:rsid w:val="006B4D07"/>
    <w:rsid w:val="006B6533"/>
    <w:rsid w:val="006C129C"/>
    <w:rsid w:val="006C1B49"/>
    <w:rsid w:val="006C3686"/>
    <w:rsid w:val="006D1B2A"/>
    <w:rsid w:val="006D27AD"/>
    <w:rsid w:val="006D4592"/>
    <w:rsid w:val="006E1350"/>
    <w:rsid w:val="006E23AB"/>
    <w:rsid w:val="006E3E1A"/>
    <w:rsid w:val="006E7563"/>
    <w:rsid w:val="006F1941"/>
    <w:rsid w:val="006F3A8C"/>
    <w:rsid w:val="00703152"/>
    <w:rsid w:val="007105E5"/>
    <w:rsid w:val="00710BB5"/>
    <w:rsid w:val="007120B9"/>
    <w:rsid w:val="007147F1"/>
    <w:rsid w:val="0071749F"/>
    <w:rsid w:val="00720D77"/>
    <w:rsid w:val="0072288F"/>
    <w:rsid w:val="00724BD5"/>
    <w:rsid w:val="00727847"/>
    <w:rsid w:val="00735757"/>
    <w:rsid w:val="00735F1B"/>
    <w:rsid w:val="007410F8"/>
    <w:rsid w:val="007431AE"/>
    <w:rsid w:val="00743BB5"/>
    <w:rsid w:val="00745940"/>
    <w:rsid w:val="0074652B"/>
    <w:rsid w:val="0074760B"/>
    <w:rsid w:val="007521E2"/>
    <w:rsid w:val="00756E9F"/>
    <w:rsid w:val="007618E0"/>
    <w:rsid w:val="00762F4E"/>
    <w:rsid w:val="00763247"/>
    <w:rsid w:val="00766AA7"/>
    <w:rsid w:val="007703F0"/>
    <w:rsid w:val="00772275"/>
    <w:rsid w:val="007727E5"/>
    <w:rsid w:val="0077541A"/>
    <w:rsid w:val="00776C0B"/>
    <w:rsid w:val="007809CF"/>
    <w:rsid w:val="00781597"/>
    <w:rsid w:val="0078228D"/>
    <w:rsid w:val="0078297A"/>
    <w:rsid w:val="007852D6"/>
    <w:rsid w:val="00785A4A"/>
    <w:rsid w:val="00787AAA"/>
    <w:rsid w:val="00790177"/>
    <w:rsid w:val="007909F7"/>
    <w:rsid w:val="007A2574"/>
    <w:rsid w:val="007A7322"/>
    <w:rsid w:val="007B17ED"/>
    <w:rsid w:val="007B2DAF"/>
    <w:rsid w:val="007B3AF9"/>
    <w:rsid w:val="007B690F"/>
    <w:rsid w:val="007C0B58"/>
    <w:rsid w:val="007C3C93"/>
    <w:rsid w:val="007D0FAD"/>
    <w:rsid w:val="007D1B35"/>
    <w:rsid w:val="007D1BAE"/>
    <w:rsid w:val="007D2C57"/>
    <w:rsid w:val="007D3161"/>
    <w:rsid w:val="007D35D9"/>
    <w:rsid w:val="007D390B"/>
    <w:rsid w:val="007D498E"/>
    <w:rsid w:val="007E0A31"/>
    <w:rsid w:val="007E0FC5"/>
    <w:rsid w:val="007E379B"/>
    <w:rsid w:val="007E406C"/>
    <w:rsid w:val="007E6ADA"/>
    <w:rsid w:val="007F0964"/>
    <w:rsid w:val="007F2251"/>
    <w:rsid w:val="007F29C7"/>
    <w:rsid w:val="007F2D84"/>
    <w:rsid w:val="007F31A4"/>
    <w:rsid w:val="007F3FEC"/>
    <w:rsid w:val="007F55BD"/>
    <w:rsid w:val="00802B9F"/>
    <w:rsid w:val="00804E79"/>
    <w:rsid w:val="0081028A"/>
    <w:rsid w:val="008125AB"/>
    <w:rsid w:val="00812B79"/>
    <w:rsid w:val="00822B52"/>
    <w:rsid w:val="008230A7"/>
    <w:rsid w:val="00823940"/>
    <w:rsid w:val="0082573B"/>
    <w:rsid w:val="00830B40"/>
    <w:rsid w:val="00833541"/>
    <w:rsid w:val="00837547"/>
    <w:rsid w:val="00840243"/>
    <w:rsid w:val="00841B85"/>
    <w:rsid w:val="00844099"/>
    <w:rsid w:val="008474AA"/>
    <w:rsid w:val="00847D9B"/>
    <w:rsid w:val="00852425"/>
    <w:rsid w:val="008544AE"/>
    <w:rsid w:val="00855C57"/>
    <w:rsid w:val="00856F00"/>
    <w:rsid w:val="00863241"/>
    <w:rsid w:val="00863D82"/>
    <w:rsid w:val="008673F1"/>
    <w:rsid w:val="00870FA0"/>
    <w:rsid w:val="00876221"/>
    <w:rsid w:val="008767EA"/>
    <w:rsid w:val="00880678"/>
    <w:rsid w:val="0088102A"/>
    <w:rsid w:val="00881785"/>
    <w:rsid w:val="00885062"/>
    <w:rsid w:val="00890B8E"/>
    <w:rsid w:val="008924EC"/>
    <w:rsid w:val="008929B2"/>
    <w:rsid w:val="0089522B"/>
    <w:rsid w:val="00896552"/>
    <w:rsid w:val="008968A7"/>
    <w:rsid w:val="00897EBC"/>
    <w:rsid w:val="008A015A"/>
    <w:rsid w:val="008A0588"/>
    <w:rsid w:val="008A0603"/>
    <w:rsid w:val="008A4A15"/>
    <w:rsid w:val="008A7F6C"/>
    <w:rsid w:val="008B0C81"/>
    <w:rsid w:val="008B23AA"/>
    <w:rsid w:val="008B43F5"/>
    <w:rsid w:val="008B48F4"/>
    <w:rsid w:val="008C3ED3"/>
    <w:rsid w:val="008C549A"/>
    <w:rsid w:val="008C5EA1"/>
    <w:rsid w:val="008D2B80"/>
    <w:rsid w:val="008D37E5"/>
    <w:rsid w:val="008D41A6"/>
    <w:rsid w:val="008D4CAF"/>
    <w:rsid w:val="008D5D33"/>
    <w:rsid w:val="008D6560"/>
    <w:rsid w:val="008D686A"/>
    <w:rsid w:val="008E634D"/>
    <w:rsid w:val="008E662A"/>
    <w:rsid w:val="008F077D"/>
    <w:rsid w:val="008F07A4"/>
    <w:rsid w:val="008F50A7"/>
    <w:rsid w:val="008F5575"/>
    <w:rsid w:val="008F57A6"/>
    <w:rsid w:val="008F651E"/>
    <w:rsid w:val="008F68FD"/>
    <w:rsid w:val="008F6E67"/>
    <w:rsid w:val="008F7961"/>
    <w:rsid w:val="009030EB"/>
    <w:rsid w:val="00906BF8"/>
    <w:rsid w:val="00911772"/>
    <w:rsid w:val="00911AD6"/>
    <w:rsid w:val="00912227"/>
    <w:rsid w:val="00913CA5"/>
    <w:rsid w:val="009154A5"/>
    <w:rsid w:val="00915AE9"/>
    <w:rsid w:val="00916642"/>
    <w:rsid w:val="009235E8"/>
    <w:rsid w:val="0092445C"/>
    <w:rsid w:val="009301EE"/>
    <w:rsid w:val="0093779B"/>
    <w:rsid w:val="009436A1"/>
    <w:rsid w:val="009503A3"/>
    <w:rsid w:val="00951732"/>
    <w:rsid w:val="00951FA5"/>
    <w:rsid w:val="0095567F"/>
    <w:rsid w:val="0095684D"/>
    <w:rsid w:val="00956FE6"/>
    <w:rsid w:val="00960C84"/>
    <w:rsid w:val="00971295"/>
    <w:rsid w:val="0097131B"/>
    <w:rsid w:val="00972963"/>
    <w:rsid w:val="00972F82"/>
    <w:rsid w:val="00975BE4"/>
    <w:rsid w:val="00977501"/>
    <w:rsid w:val="00977D8F"/>
    <w:rsid w:val="0098382C"/>
    <w:rsid w:val="009842F0"/>
    <w:rsid w:val="009848EE"/>
    <w:rsid w:val="0098517B"/>
    <w:rsid w:val="00987D7A"/>
    <w:rsid w:val="00990ACF"/>
    <w:rsid w:val="009A38EC"/>
    <w:rsid w:val="009A47F6"/>
    <w:rsid w:val="009A4C5E"/>
    <w:rsid w:val="009A4D9F"/>
    <w:rsid w:val="009A5CDE"/>
    <w:rsid w:val="009A652E"/>
    <w:rsid w:val="009A72A1"/>
    <w:rsid w:val="009B6853"/>
    <w:rsid w:val="009B7ED0"/>
    <w:rsid w:val="009C0956"/>
    <w:rsid w:val="009C31F5"/>
    <w:rsid w:val="009C4C1F"/>
    <w:rsid w:val="009C648D"/>
    <w:rsid w:val="009D2DC3"/>
    <w:rsid w:val="009D3C12"/>
    <w:rsid w:val="009D4CBD"/>
    <w:rsid w:val="009D61CE"/>
    <w:rsid w:val="009E2173"/>
    <w:rsid w:val="009E23E5"/>
    <w:rsid w:val="009E31B7"/>
    <w:rsid w:val="009E3A94"/>
    <w:rsid w:val="009E42F6"/>
    <w:rsid w:val="009E6629"/>
    <w:rsid w:val="009F0884"/>
    <w:rsid w:val="009F1ADE"/>
    <w:rsid w:val="009F2C47"/>
    <w:rsid w:val="009F3D38"/>
    <w:rsid w:val="009F5D9A"/>
    <w:rsid w:val="009F7BBB"/>
    <w:rsid w:val="009F7D4E"/>
    <w:rsid w:val="00A014B5"/>
    <w:rsid w:val="00A016C6"/>
    <w:rsid w:val="00A02E6C"/>
    <w:rsid w:val="00A11AEE"/>
    <w:rsid w:val="00A11C74"/>
    <w:rsid w:val="00A12140"/>
    <w:rsid w:val="00A1245E"/>
    <w:rsid w:val="00A20269"/>
    <w:rsid w:val="00A214AA"/>
    <w:rsid w:val="00A27750"/>
    <w:rsid w:val="00A32895"/>
    <w:rsid w:val="00A34EC5"/>
    <w:rsid w:val="00A3571D"/>
    <w:rsid w:val="00A40E53"/>
    <w:rsid w:val="00A4194D"/>
    <w:rsid w:val="00A43076"/>
    <w:rsid w:val="00A478EC"/>
    <w:rsid w:val="00A47C89"/>
    <w:rsid w:val="00A5087A"/>
    <w:rsid w:val="00A51A09"/>
    <w:rsid w:val="00A53C13"/>
    <w:rsid w:val="00A542CD"/>
    <w:rsid w:val="00A5525B"/>
    <w:rsid w:val="00A55FB6"/>
    <w:rsid w:val="00A6230B"/>
    <w:rsid w:val="00A62709"/>
    <w:rsid w:val="00A71777"/>
    <w:rsid w:val="00A719CB"/>
    <w:rsid w:val="00A73EC1"/>
    <w:rsid w:val="00A77A15"/>
    <w:rsid w:val="00A77B2D"/>
    <w:rsid w:val="00A81BD3"/>
    <w:rsid w:val="00A836DC"/>
    <w:rsid w:val="00A846AD"/>
    <w:rsid w:val="00A84AB6"/>
    <w:rsid w:val="00A86242"/>
    <w:rsid w:val="00A92259"/>
    <w:rsid w:val="00A93FC8"/>
    <w:rsid w:val="00AA1A2A"/>
    <w:rsid w:val="00AA2843"/>
    <w:rsid w:val="00AA65FE"/>
    <w:rsid w:val="00AA7051"/>
    <w:rsid w:val="00AB3A53"/>
    <w:rsid w:val="00AB5323"/>
    <w:rsid w:val="00AB6A30"/>
    <w:rsid w:val="00AC034B"/>
    <w:rsid w:val="00AC12BB"/>
    <w:rsid w:val="00AC2ED4"/>
    <w:rsid w:val="00AC46A0"/>
    <w:rsid w:val="00AC6B47"/>
    <w:rsid w:val="00AC6F52"/>
    <w:rsid w:val="00AC7CC7"/>
    <w:rsid w:val="00AD0D49"/>
    <w:rsid w:val="00AD12B7"/>
    <w:rsid w:val="00AD5C6D"/>
    <w:rsid w:val="00AD6D8E"/>
    <w:rsid w:val="00AE15AE"/>
    <w:rsid w:val="00AE3097"/>
    <w:rsid w:val="00AE398B"/>
    <w:rsid w:val="00AE545C"/>
    <w:rsid w:val="00AE6909"/>
    <w:rsid w:val="00AE6DCF"/>
    <w:rsid w:val="00AF1F08"/>
    <w:rsid w:val="00AF35C9"/>
    <w:rsid w:val="00B046F4"/>
    <w:rsid w:val="00B20E42"/>
    <w:rsid w:val="00B21213"/>
    <w:rsid w:val="00B213E2"/>
    <w:rsid w:val="00B2174E"/>
    <w:rsid w:val="00B31A6F"/>
    <w:rsid w:val="00B342E6"/>
    <w:rsid w:val="00B344F7"/>
    <w:rsid w:val="00B34C5B"/>
    <w:rsid w:val="00B35053"/>
    <w:rsid w:val="00B354E9"/>
    <w:rsid w:val="00B36305"/>
    <w:rsid w:val="00B415EF"/>
    <w:rsid w:val="00B4176D"/>
    <w:rsid w:val="00B46419"/>
    <w:rsid w:val="00B46B1C"/>
    <w:rsid w:val="00B51FFA"/>
    <w:rsid w:val="00B533A3"/>
    <w:rsid w:val="00B56216"/>
    <w:rsid w:val="00B56549"/>
    <w:rsid w:val="00B56659"/>
    <w:rsid w:val="00B60D37"/>
    <w:rsid w:val="00B614ED"/>
    <w:rsid w:val="00B64C52"/>
    <w:rsid w:val="00B65AC3"/>
    <w:rsid w:val="00B67CF0"/>
    <w:rsid w:val="00B704E7"/>
    <w:rsid w:val="00B70CA6"/>
    <w:rsid w:val="00B71B58"/>
    <w:rsid w:val="00B87F05"/>
    <w:rsid w:val="00B9368C"/>
    <w:rsid w:val="00B94A9D"/>
    <w:rsid w:val="00B97073"/>
    <w:rsid w:val="00BA08ED"/>
    <w:rsid w:val="00BA3413"/>
    <w:rsid w:val="00BA5F01"/>
    <w:rsid w:val="00BA5F1A"/>
    <w:rsid w:val="00BB116B"/>
    <w:rsid w:val="00BB3419"/>
    <w:rsid w:val="00BB5763"/>
    <w:rsid w:val="00BB6417"/>
    <w:rsid w:val="00BB7852"/>
    <w:rsid w:val="00BB7A4F"/>
    <w:rsid w:val="00BC1132"/>
    <w:rsid w:val="00BC4931"/>
    <w:rsid w:val="00BD1495"/>
    <w:rsid w:val="00BD2E0D"/>
    <w:rsid w:val="00BD628A"/>
    <w:rsid w:val="00BD7939"/>
    <w:rsid w:val="00BE204F"/>
    <w:rsid w:val="00BE2630"/>
    <w:rsid w:val="00BE2AB3"/>
    <w:rsid w:val="00BE32A7"/>
    <w:rsid w:val="00BE754F"/>
    <w:rsid w:val="00BF2271"/>
    <w:rsid w:val="00BF4216"/>
    <w:rsid w:val="00BF4EBB"/>
    <w:rsid w:val="00BF6945"/>
    <w:rsid w:val="00BF6BB7"/>
    <w:rsid w:val="00BF7DE3"/>
    <w:rsid w:val="00BF7F7C"/>
    <w:rsid w:val="00C02E77"/>
    <w:rsid w:val="00C04FAC"/>
    <w:rsid w:val="00C063FF"/>
    <w:rsid w:val="00C0700B"/>
    <w:rsid w:val="00C13D5C"/>
    <w:rsid w:val="00C166F0"/>
    <w:rsid w:val="00C1694B"/>
    <w:rsid w:val="00C17F04"/>
    <w:rsid w:val="00C25585"/>
    <w:rsid w:val="00C26F9D"/>
    <w:rsid w:val="00C338E7"/>
    <w:rsid w:val="00C3508E"/>
    <w:rsid w:val="00C356AE"/>
    <w:rsid w:val="00C41FA4"/>
    <w:rsid w:val="00C44425"/>
    <w:rsid w:val="00C4550E"/>
    <w:rsid w:val="00C518A0"/>
    <w:rsid w:val="00C52018"/>
    <w:rsid w:val="00C523C8"/>
    <w:rsid w:val="00C52732"/>
    <w:rsid w:val="00C54363"/>
    <w:rsid w:val="00C57D28"/>
    <w:rsid w:val="00C60BDA"/>
    <w:rsid w:val="00C62528"/>
    <w:rsid w:val="00C64005"/>
    <w:rsid w:val="00C661F4"/>
    <w:rsid w:val="00C70797"/>
    <w:rsid w:val="00C733C1"/>
    <w:rsid w:val="00C7585E"/>
    <w:rsid w:val="00C75CF0"/>
    <w:rsid w:val="00C80E47"/>
    <w:rsid w:val="00C82DA4"/>
    <w:rsid w:val="00C90424"/>
    <w:rsid w:val="00C91AB9"/>
    <w:rsid w:val="00C935A0"/>
    <w:rsid w:val="00C95029"/>
    <w:rsid w:val="00C96918"/>
    <w:rsid w:val="00CA137E"/>
    <w:rsid w:val="00CB4C6C"/>
    <w:rsid w:val="00CB5753"/>
    <w:rsid w:val="00CB5EBE"/>
    <w:rsid w:val="00CB67D2"/>
    <w:rsid w:val="00CD6AE6"/>
    <w:rsid w:val="00CD78C7"/>
    <w:rsid w:val="00CE3272"/>
    <w:rsid w:val="00CF2749"/>
    <w:rsid w:val="00CF31E5"/>
    <w:rsid w:val="00CF3493"/>
    <w:rsid w:val="00CF5B34"/>
    <w:rsid w:val="00CF7910"/>
    <w:rsid w:val="00D002CF"/>
    <w:rsid w:val="00D008EA"/>
    <w:rsid w:val="00D00B90"/>
    <w:rsid w:val="00D02B26"/>
    <w:rsid w:val="00D04B44"/>
    <w:rsid w:val="00D06EDE"/>
    <w:rsid w:val="00D075B6"/>
    <w:rsid w:val="00D11157"/>
    <w:rsid w:val="00D2078D"/>
    <w:rsid w:val="00D2540C"/>
    <w:rsid w:val="00D26B3E"/>
    <w:rsid w:val="00D31882"/>
    <w:rsid w:val="00D332EB"/>
    <w:rsid w:val="00D35A9C"/>
    <w:rsid w:val="00D50725"/>
    <w:rsid w:val="00D514B9"/>
    <w:rsid w:val="00D53BC0"/>
    <w:rsid w:val="00D55B77"/>
    <w:rsid w:val="00D57BF2"/>
    <w:rsid w:val="00D66203"/>
    <w:rsid w:val="00D6621A"/>
    <w:rsid w:val="00D7297F"/>
    <w:rsid w:val="00D73FA4"/>
    <w:rsid w:val="00D74558"/>
    <w:rsid w:val="00D7558F"/>
    <w:rsid w:val="00D758A0"/>
    <w:rsid w:val="00D75B3B"/>
    <w:rsid w:val="00D76C72"/>
    <w:rsid w:val="00D771A3"/>
    <w:rsid w:val="00D77EEE"/>
    <w:rsid w:val="00D82854"/>
    <w:rsid w:val="00D83CD6"/>
    <w:rsid w:val="00D84AAC"/>
    <w:rsid w:val="00D855B9"/>
    <w:rsid w:val="00D8610E"/>
    <w:rsid w:val="00D904C5"/>
    <w:rsid w:val="00D91AFC"/>
    <w:rsid w:val="00D9363F"/>
    <w:rsid w:val="00D95CFB"/>
    <w:rsid w:val="00D966F5"/>
    <w:rsid w:val="00DA01E2"/>
    <w:rsid w:val="00DA1E6D"/>
    <w:rsid w:val="00DA2299"/>
    <w:rsid w:val="00DA23FB"/>
    <w:rsid w:val="00DA5B92"/>
    <w:rsid w:val="00DA60ED"/>
    <w:rsid w:val="00DA6E3B"/>
    <w:rsid w:val="00DA7653"/>
    <w:rsid w:val="00DA7B65"/>
    <w:rsid w:val="00DB3BFE"/>
    <w:rsid w:val="00DB3DFF"/>
    <w:rsid w:val="00DB3EE4"/>
    <w:rsid w:val="00DB72D6"/>
    <w:rsid w:val="00DB7F80"/>
    <w:rsid w:val="00DC49F8"/>
    <w:rsid w:val="00DC62B0"/>
    <w:rsid w:val="00DD5DFD"/>
    <w:rsid w:val="00DD7009"/>
    <w:rsid w:val="00DE1097"/>
    <w:rsid w:val="00DE15EE"/>
    <w:rsid w:val="00DE43A1"/>
    <w:rsid w:val="00DF0B59"/>
    <w:rsid w:val="00DF10B2"/>
    <w:rsid w:val="00DF1C55"/>
    <w:rsid w:val="00DF335F"/>
    <w:rsid w:val="00DF4D3D"/>
    <w:rsid w:val="00DF6D61"/>
    <w:rsid w:val="00E02827"/>
    <w:rsid w:val="00E0570C"/>
    <w:rsid w:val="00E07354"/>
    <w:rsid w:val="00E111EA"/>
    <w:rsid w:val="00E15EC5"/>
    <w:rsid w:val="00E17E4F"/>
    <w:rsid w:val="00E17F58"/>
    <w:rsid w:val="00E3232F"/>
    <w:rsid w:val="00E34AA3"/>
    <w:rsid w:val="00E41BD2"/>
    <w:rsid w:val="00E41EA7"/>
    <w:rsid w:val="00E421EF"/>
    <w:rsid w:val="00E44F42"/>
    <w:rsid w:val="00E46FA3"/>
    <w:rsid w:val="00E508E1"/>
    <w:rsid w:val="00E55DB1"/>
    <w:rsid w:val="00E61256"/>
    <w:rsid w:val="00E62A9C"/>
    <w:rsid w:val="00E675A7"/>
    <w:rsid w:val="00E70C0C"/>
    <w:rsid w:val="00E721D8"/>
    <w:rsid w:val="00E724F0"/>
    <w:rsid w:val="00E72AA9"/>
    <w:rsid w:val="00E72B5A"/>
    <w:rsid w:val="00E745E4"/>
    <w:rsid w:val="00E80DFD"/>
    <w:rsid w:val="00E81A5A"/>
    <w:rsid w:val="00E81B19"/>
    <w:rsid w:val="00E86E25"/>
    <w:rsid w:val="00E878D4"/>
    <w:rsid w:val="00E9150B"/>
    <w:rsid w:val="00E94A9A"/>
    <w:rsid w:val="00E96F58"/>
    <w:rsid w:val="00EA1D43"/>
    <w:rsid w:val="00EA56FA"/>
    <w:rsid w:val="00EA5748"/>
    <w:rsid w:val="00EA6919"/>
    <w:rsid w:val="00EB7B17"/>
    <w:rsid w:val="00EC1F4B"/>
    <w:rsid w:val="00EC4A4D"/>
    <w:rsid w:val="00EC5938"/>
    <w:rsid w:val="00EC6FD1"/>
    <w:rsid w:val="00EC793B"/>
    <w:rsid w:val="00EC7CC2"/>
    <w:rsid w:val="00ED024A"/>
    <w:rsid w:val="00ED3AF8"/>
    <w:rsid w:val="00ED527A"/>
    <w:rsid w:val="00ED7E96"/>
    <w:rsid w:val="00EE1531"/>
    <w:rsid w:val="00EE5191"/>
    <w:rsid w:val="00EE6E50"/>
    <w:rsid w:val="00EF2E1C"/>
    <w:rsid w:val="00EF43E9"/>
    <w:rsid w:val="00EF4BCE"/>
    <w:rsid w:val="00EF6BC3"/>
    <w:rsid w:val="00F0075C"/>
    <w:rsid w:val="00F047F2"/>
    <w:rsid w:val="00F11742"/>
    <w:rsid w:val="00F14169"/>
    <w:rsid w:val="00F22605"/>
    <w:rsid w:val="00F23550"/>
    <w:rsid w:val="00F2519C"/>
    <w:rsid w:val="00F26EF8"/>
    <w:rsid w:val="00F30519"/>
    <w:rsid w:val="00F3237B"/>
    <w:rsid w:val="00F32C59"/>
    <w:rsid w:val="00F335FB"/>
    <w:rsid w:val="00F34F73"/>
    <w:rsid w:val="00F35FDD"/>
    <w:rsid w:val="00F36095"/>
    <w:rsid w:val="00F36905"/>
    <w:rsid w:val="00F44844"/>
    <w:rsid w:val="00F450A8"/>
    <w:rsid w:val="00F473C6"/>
    <w:rsid w:val="00F5337B"/>
    <w:rsid w:val="00F55DA5"/>
    <w:rsid w:val="00F63609"/>
    <w:rsid w:val="00F659AD"/>
    <w:rsid w:val="00F67D0D"/>
    <w:rsid w:val="00F76025"/>
    <w:rsid w:val="00F82804"/>
    <w:rsid w:val="00F83436"/>
    <w:rsid w:val="00F8440C"/>
    <w:rsid w:val="00F9097D"/>
    <w:rsid w:val="00F9120F"/>
    <w:rsid w:val="00F96AAF"/>
    <w:rsid w:val="00FA045B"/>
    <w:rsid w:val="00FA0A0E"/>
    <w:rsid w:val="00FA236E"/>
    <w:rsid w:val="00FA30E2"/>
    <w:rsid w:val="00FA3D3E"/>
    <w:rsid w:val="00FA539B"/>
    <w:rsid w:val="00FA6E34"/>
    <w:rsid w:val="00FB2FA6"/>
    <w:rsid w:val="00FB6595"/>
    <w:rsid w:val="00FC548A"/>
    <w:rsid w:val="00FC6FFF"/>
    <w:rsid w:val="00FD15BA"/>
    <w:rsid w:val="00FD1749"/>
    <w:rsid w:val="00FD2A73"/>
    <w:rsid w:val="00FD4C5E"/>
    <w:rsid w:val="00FD5302"/>
    <w:rsid w:val="00FD6262"/>
    <w:rsid w:val="00FD7469"/>
    <w:rsid w:val="00FD7647"/>
    <w:rsid w:val="00FE0CFA"/>
    <w:rsid w:val="00FE184F"/>
    <w:rsid w:val="00FE1B00"/>
    <w:rsid w:val="00FE5480"/>
    <w:rsid w:val="00FF0ADA"/>
    <w:rsid w:val="00FF21F7"/>
    <w:rsid w:val="00FF4DED"/>
    <w:rsid w:val="00FF6751"/>
    <w:rsid w:val="00FF6853"/>
    <w:rsid w:val="010D7DD7"/>
    <w:rsid w:val="106E5AB9"/>
    <w:rsid w:val="22DB1FCE"/>
    <w:rsid w:val="39D54C2E"/>
    <w:rsid w:val="50AC28F9"/>
    <w:rsid w:val="5A3A2B75"/>
    <w:rsid w:val="75447F00"/>
    <w:rsid w:val="7A82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2" w:lineRule="auto"/>
      <w:jc w:val="both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b/>
      <w:bCs/>
      <w:caps/>
      <w:spacing w:val="4"/>
      <w:sz w:val="28"/>
      <w:szCs w:val="28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spacing w:before="120" w:after="0"/>
      <w:outlineLvl w:val="1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spacing w:before="120" w:after="0"/>
      <w:outlineLvl w:val="2"/>
    </w:pPr>
    <w:rPr>
      <w:rFonts w:asciiTheme="majorHAnsi" w:hAnsiTheme="majorHAnsi" w:eastAsiaTheme="majorEastAsia" w:cstheme="majorBidi"/>
      <w:spacing w:val="4"/>
      <w:sz w:val="24"/>
      <w:szCs w:val="24"/>
    </w:rPr>
  </w:style>
  <w:style w:type="paragraph" w:styleId="5">
    <w:name w:val="heading 4"/>
    <w:basedOn w:val="1"/>
    <w:next w:val="1"/>
    <w:link w:val="33"/>
    <w:semiHidden/>
    <w:unhideWhenUsed/>
    <w:qFormat/>
    <w:uiPriority w:val="9"/>
    <w:pPr>
      <w:keepNext/>
      <w:keepLines/>
      <w:spacing w:before="120" w:after="0"/>
      <w:outlineLvl w:val="3"/>
    </w:pPr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6">
    <w:name w:val="heading 5"/>
    <w:basedOn w:val="1"/>
    <w:next w:val="1"/>
    <w:link w:val="34"/>
    <w:semiHidden/>
    <w:unhideWhenUsed/>
    <w:qFormat/>
    <w:uiPriority w:val="9"/>
    <w:pPr>
      <w:keepNext/>
      <w:keepLines/>
      <w:spacing w:before="120" w:after="0"/>
      <w:outlineLvl w:val="4"/>
    </w:pPr>
    <w:rPr>
      <w:rFonts w:asciiTheme="majorHAnsi" w:hAnsiTheme="majorHAnsi" w:eastAsiaTheme="majorEastAsia" w:cstheme="majorBidi"/>
      <w:b/>
      <w:bCs/>
    </w:rPr>
  </w:style>
  <w:style w:type="paragraph" w:styleId="7">
    <w:name w:val="heading 6"/>
    <w:basedOn w:val="1"/>
    <w:next w:val="1"/>
    <w:link w:val="35"/>
    <w:semiHidden/>
    <w:unhideWhenUsed/>
    <w:qFormat/>
    <w:uiPriority w:val="9"/>
    <w:pPr>
      <w:keepNext/>
      <w:keepLines/>
      <w:spacing w:before="120" w:after="0"/>
      <w:outlineLvl w:val="5"/>
    </w:pPr>
    <w:rPr>
      <w:rFonts w:asciiTheme="majorHAnsi" w:hAnsiTheme="majorHAnsi" w:eastAsiaTheme="majorEastAsia" w:cstheme="majorBidi"/>
      <w:b/>
      <w:bCs/>
      <w:i/>
      <w:iCs/>
    </w:rPr>
  </w:style>
  <w:style w:type="paragraph" w:styleId="8">
    <w:name w:val="heading 7"/>
    <w:basedOn w:val="1"/>
    <w:next w:val="1"/>
    <w:link w:val="36"/>
    <w:semiHidden/>
    <w:unhideWhenUsed/>
    <w:qFormat/>
    <w:uiPriority w:val="9"/>
    <w:pPr>
      <w:keepNext/>
      <w:keepLines/>
      <w:spacing w:before="120" w:after="0"/>
      <w:outlineLvl w:val="6"/>
    </w:pPr>
    <w:rPr>
      <w:i/>
      <w:iCs/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spacing w:before="120" w:after="0"/>
      <w:outlineLvl w:val="7"/>
    </w:pPr>
    <w:rPr>
      <w:b/>
      <w:bCs/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spacing w:before="120" w:after="0"/>
      <w:outlineLvl w:val="8"/>
    </w:pPr>
    <w:rPr>
      <w:i/>
      <w:iCs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b/>
      <w:bCs/>
      <w:sz w:val="18"/>
      <w:szCs w:val="18"/>
    </w:rPr>
  </w:style>
  <w:style w:type="paragraph" w:styleId="12">
    <w:name w:val="annotation text"/>
    <w:basedOn w:val="1"/>
    <w:link w:val="55"/>
    <w:semiHidden/>
    <w:unhideWhenUsed/>
    <w:qFormat/>
    <w:uiPriority w:val="99"/>
    <w:pPr>
      <w:widowControl w:val="0"/>
      <w:spacing w:after="0" w:line="240" w:lineRule="auto"/>
      <w:jc w:val="left"/>
    </w:pPr>
    <w:rPr>
      <w:kern w:val="2"/>
      <w:sz w:val="21"/>
    </w:rPr>
  </w:style>
  <w:style w:type="paragraph" w:styleId="13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  <w:jc w:val="left"/>
    </w:pPr>
    <w:rPr>
      <w:rFonts w:cs="Times New Roman"/>
    </w:rPr>
  </w:style>
  <w:style w:type="paragraph" w:styleId="14">
    <w:name w:val="Date"/>
    <w:basedOn w:val="1"/>
    <w:next w:val="1"/>
    <w:link w:val="58"/>
    <w:semiHidden/>
    <w:unhideWhenUsed/>
    <w:qFormat/>
    <w:uiPriority w:val="99"/>
    <w:pPr>
      <w:ind w:left="100" w:leftChars="2500"/>
    </w:pPr>
  </w:style>
  <w:style w:type="paragraph" w:styleId="15">
    <w:name w:val="Balloon Text"/>
    <w:basedOn w:val="1"/>
    <w:link w:val="56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16">
    <w:name w:val="footer"/>
    <w:basedOn w:val="1"/>
    <w:link w:val="5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7">
    <w:name w:val="header"/>
    <w:basedOn w:val="1"/>
    <w:link w:val="5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  <w:outlineLvl w:val="0"/>
    </w:pPr>
    <w:rPr>
      <w:rFonts w:ascii="微软雅黑" w:hAnsi="微软雅黑" w:eastAsia="微软雅黑"/>
      <w:b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paragraph" w:styleId="19">
    <w:name w:val="Subtitle"/>
    <w:basedOn w:val="1"/>
    <w:next w:val="1"/>
    <w:link w:val="40"/>
    <w:qFormat/>
    <w:uiPriority w:val="11"/>
    <w:pPr>
      <w:spacing w:after="240"/>
      <w:jc w:val="center"/>
    </w:pPr>
    <w:rPr>
      <w:rFonts w:asciiTheme="majorHAnsi" w:hAnsiTheme="majorHAnsi" w:eastAsiaTheme="majorEastAsia" w:cstheme="majorBidi"/>
      <w:sz w:val="24"/>
      <w:szCs w:val="24"/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1">
    <w:name w:val="Normal (Web)"/>
    <w:basedOn w:val="1"/>
    <w:semiHidden/>
    <w:unhideWhenUsed/>
    <w:qFormat/>
    <w:uiPriority w:val="99"/>
    <w:pPr>
      <w:spacing w:after="0" w:line="240" w:lineRule="auto"/>
      <w:jc w:val="left"/>
    </w:pPr>
    <w:rPr>
      <w:rFonts w:ascii="宋体" w:hAnsi="宋体" w:eastAsia="宋体" w:cs="宋体"/>
      <w:sz w:val="24"/>
      <w:szCs w:val="24"/>
    </w:rPr>
  </w:style>
  <w:style w:type="paragraph" w:styleId="22">
    <w:name w:val="Title"/>
    <w:basedOn w:val="1"/>
    <w:next w:val="1"/>
    <w:link w:val="39"/>
    <w:qFormat/>
    <w:uiPriority w:val="10"/>
    <w:pPr>
      <w:spacing w:after="0" w:line="240" w:lineRule="auto"/>
      <w:contextualSpacing/>
      <w:jc w:val="center"/>
    </w:pPr>
    <w:rPr>
      <w:rFonts w:asciiTheme="majorHAnsi" w:hAnsiTheme="majorHAnsi" w:eastAsiaTheme="majorEastAsia" w:cstheme="majorBidi"/>
      <w:b/>
      <w:bCs/>
      <w:spacing w:val="-7"/>
      <w:sz w:val="48"/>
      <w:szCs w:val="48"/>
    </w:rPr>
  </w:style>
  <w:style w:type="paragraph" w:styleId="23">
    <w:name w:val="annotation subject"/>
    <w:basedOn w:val="12"/>
    <w:next w:val="12"/>
    <w:link w:val="57"/>
    <w:semiHidden/>
    <w:unhideWhenUsed/>
    <w:qFormat/>
    <w:uiPriority w:val="99"/>
    <w:pPr>
      <w:widowControl/>
      <w:spacing w:after="160" w:line="252" w:lineRule="auto"/>
    </w:pPr>
    <w:rPr>
      <w:b/>
      <w:bCs/>
      <w:kern w:val="0"/>
      <w:sz w:val="22"/>
    </w:rPr>
  </w:style>
  <w:style w:type="character" w:styleId="26">
    <w:name w:val="Strong"/>
    <w:basedOn w:val="25"/>
    <w:qFormat/>
    <w:uiPriority w:val="22"/>
    <w:rPr>
      <w:b/>
      <w:bCs/>
      <w:color w:val="auto"/>
    </w:rPr>
  </w:style>
  <w:style w:type="character" w:styleId="27">
    <w:name w:val="Emphasis"/>
    <w:basedOn w:val="25"/>
    <w:qFormat/>
    <w:uiPriority w:val="20"/>
    <w:rPr>
      <w:i/>
      <w:iCs/>
      <w:color w:val="auto"/>
    </w:rPr>
  </w:style>
  <w:style w:type="character" w:styleId="28">
    <w:name w:val="Hyperlink"/>
    <w:basedOn w:val="25"/>
    <w:unhideWhenUsed/>
    <w:qFormat/>
    <w:uiPriority w:val="99"/>
    <w:rPr>
      <w:color w:val="99CA3C" w:themeColor="hyperlink"/>
      <w:u w:val="single"/>
      <w14:textFill>
        <w14:solidFill>
          <w14:schemeClr w14:val="hlink"/>
        </w14:solidFill>
      </w14:textFill>
    </w:rPr>
  </w:style>
  <w:style w:type="character" w:styleId="29">
    <w:name w:val="annotation reference"/>
    <w:basedOn w:val="25"/>
    <w:semiHidden/>
    <w:unhideWhenUsed/>
    <w:qFormat/>
    <w:uiPriority w:val="99"/>
    <w:rPr>
      <w:sz w:val="21"/>
      <w:szCs w:val="21"/>
    </w:rPr>
  </w:style>
  <w:style w:type="character" w:customStyle="1" w:styleId="30">
    <w:name w:val="标题 1 字符"/>
    <w:basedOn w:val="25"/>
    <w:link w:val="2"/>
    <w:qFormat/>
    <w:uiPriority w:val="9"/>
    <w:rPr>
      <w:rFonts w:asciiTheme="majorHAnsi" w:hAnsiTheme="majorHAnsi" w:eastAsiaTheme="majorEastAsia" w:cstheme="majorBidi"/>
      <w:b/>
      <w:bCs/>
      <w:caps/>
      <w:spacing w:val="4"/>
      <w:sz w:val="28"/>
      <w:szCs w:val="28"/>
    </w:rPr>
  </w:style>
  <w:style w:type="character" w:customStyle="1" w:styleId="31">
    <w:name w:val="标题 2 字符"/>
    <w:basedOn w:val="25"/>
    <w:link w:val="3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2">
    <w:name w:val="标题 3 字符"/>
    <w:basedOn w:val="25"/>
    <w:link w:val="4"/>
    <w:qFormat/>
    <w:uiPriority w:val="9"/>
    <w:rPr>
      <w:rFonts w:asciiTheme="majorHAnsi" w:hAnsiTheme="majorHAnsi" w:eastAsiaTheme="majorEastAsia" w:cstheme="majorBidi"/>
      <w:spacing w:val="4"/>
      <w:sz w:val="24"/>
      <w:szCs w:val="24"/>
    </w:rPr>
  </w:style>
  <w:style w:type="character" w:customStyle="1" w:styleId="33">
    <w:name w:val="标题 4 字符"/>
    <w:basedOn w:val="25"/>
    <w:link w:val="5"/>
    <w:semiHidden/>
    <w:qFormat/>
    <w:uiPriority w:val="9"/>
    <w:rPr>
      <w:rFonts w:asciiTheme="majorHAnsi" w:hAnsiTheme="majorHAnsi" w:eastAsiaTheme="majorEastAsia" w:cstheme="majorBidi"/>
      <w:i/>
      <w:iCs/>
      <w:sz w:val="24"/>
      <w:szCs w:val="24"/>
    </w:rPr>
  </w:style>
  <w:style w:type="character" w:customStyle="1" w:styleId="34">
    <w:name w:val="标题 5 字符"/>
    <w:basedOn w:val="25"/>
    <w:link w:val="6"/>
    <w:semiHidden/>
    <w:qFormat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35">
    <w:name w:val="标题 6 字符"/>
    <w:basedOn w:val="25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</w:rPr>
  </w:style>
  <w:style w:type="character" w:customStyle="1" w:styleId="36">
    <w:name w:val="标题 7 字符"/>
    <w:basedOn w:val="25"/>
    <w:link w:val="8"/>
    <w:semiHidden/>
    <w:qFormat/>
    <w:uiPriority w:val="9"/>
    <w:rPr>
      <w:i/>
      <w:iCs/>
    </w:rPr>
  </w:style>
  <w:style w:type="character" w:customStyle="1" w:styleId="37">
    <w:name w:val="标题 8 字符"/>
    <w:basedOn w:val="25"/>
    <w:link w:val="9"/>
    <w:semiHidden/>
    <w:qFormat/>
    <w:uiPriority w:val="9"/>
    <w:rPr>
      <w:b/>
      <w:bCs/>
    </w:rPr>
  </w:style>
  <w:style w:type="character" w:customStyle="1" w:styleId="38">
    <w:name w:val="标题 9 字符"/>
    <w:basedOn w:val="25"/>
    <w:link w:val="10"/>
    <w:semiHidden/>
    <w:qFormat/>
    <w:uiPriority w:val="9"/>
    <w:rPr>
      <w:i/>
      <w:iCs/>
    </w:rPr>
  </w:style>
  <w:style w:type="character" w:customStyle="1" w:styleId="39">
    <w:name w:val="标题 字符"/>
    <w:basedOn w:val="25"/>
    <w:link w:val="22"/>
    <w:qFormat/>
    <w:uiPriority w:val="10"/>
    <w:rPr>
      <w:rFonts w:asciiTheme="majorHAnsi" w:hAnsiTheme="majorHAnsi" w:eastAsiaTheme="majorEastAsia" w:cstheme="majorBidi"/>
      <w:b/>
      <w:bCs/>
      <w:spacing w:val="-7"/>
      <w:sz w:val="48"/>
      <w:szCs w:val="48"/>
    </w:rPr>
  </w:style>
  <w:style w:type="character" w:customStyle="1" w:styleId="40">
    <w:name w:val="副标题 字符"/>
    <w:basedOn w:val="25"/>
    <w:link w:val="19"/>
    <w:qFormat/>
    <w:uiPriority w:val="11"/>
    <w:rPr>
      <w:rFonts w:asciiTheme="majorHAnsi" w:hAnsiTheme="majorHAnsi" w:eastAsiaTheme="majorEastAsia" w:cstheme="majorBidi"/>
      <w:sz w:val="24"/>
      <w:szCs w:val="24"/>
    </w:rPr>
  </w:style>
  <w:style w:type="paragraph" w:styleId="41">
    <w:name w:val="No Spacing"/>
    <w:qFormat/>
    <w:uiPriority w:val="1"/>
    <w:pPr>
      <w:jc w:val="both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42">
    <w:name w:val="List Paragraph"/>
    <w:basedOn w:val="1"/>
    <w:qFormat/>
    <w:uiPriority w:val="34"/>
    <w:pPr>
      <w:ind w:firstLine="420" w:firstLineChars="200"/>
    </w:pPr>
  </w:style>
  <w:style w:type="paragraph" w:styleId="43">
    <w:name w:val="Quote"/>
    <w:basedOn w:val="1"/>
    <w:next w:val="1"/>
    <w:link w:val="44"/>
    <w:qFormat/>
    <w:uiPriority w:val="29"/>
    <w:pPr>
      <w:spacing w:before="200" w:line="264" w:lineRule="auto"/>
      <w:ind w:left="864" w:right="864"/>
      <w:jc w:val="center"/>
    </w:pPr>
    <w:rPr>
      <w:rFonts w:asciiTheme="majorHAnsi" w:hAnsiTheme="majorHAnsi" w:eastAsiaTheme="majorEastAsia" w:cstheme="majorBidi"/>
      <w:i/>
      <w:iCs/>
      <w:sz w:val="24"/>
      <w:szCs w:val="24"/>
    </w:rPr>
  </w:style>
  <w:style w:type="character" w:customStyle="1" w:styleId="44">
    <w:name w:val="引用 字符"/>
    <w:basedOn w:val="25"/>
    <w:link w:val="43"/>
    <w:qFormat/>
    <w:uiPriority w:val="29"/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45">
    <w:name w:val="Intense Quote"/>
    <w:basedOn w:val="1"/>
    <w:next w:val="1"/>
    <w:link w:val="46"/>
    <w:qFormat/>
    <w:uiPriority w:val="30"/>
    <w:pPr>
      <w:spacing w:before="100" w:beforeAutospacing="1" w:after="240"/>
      <w:ind w:left="936" w:right="936"/>
      <w:jc w:val="center"/>
    </w:pPr>
    <w:rPr>
      <w:rFonts w:asciiTheme="majorHAnsi" w:hAnsiTheme="majorHAnsi" w:eastAsiaTheme="majorEastAsia" w:cstheme="majorBidi"/>
      <w:sz w:val="26"/>
      <w:szCs w:val="26"/>
    </w:rPr>
  </w:style>
  <w:style w:type="character" w:customStyle="1" w:styleId="46">
    <w:name w:val="明显引用 字符"/>
    <w:basedOn w:val="25"/>
    <w:link w:val="45"/>
    <w:qFormat/>
    <w:uiPriority w:val="30"/>
    <w:rPr>
      <w:rFonts w:asciiTheme="majorHAnsi" w:hAnsiTheme="majorHAnsi" w:eastAsiaTheme="majorEastAsia" w:cstheme="majorBidi"/>
      <w:sz w:val="26"/>
      <w:szCs w:val="26"/>
    </w:rPr>
  </w:style>
  <w:style w:type="character" w:customStyle="1" w:styleId="47">
    <w:name w:val="不明显强调1"/>
    <w:basedOn w:val="25"/>
    <w:qFormat/>
    <w:uiPriority w:val="19"/>
    <w:rPr>
      <w:i/>
      <w:iCs/>
      <w:color w:val="auto"/>
    </w:rPr>
  </w:style>
  <w:style w:type="character" w:customStyle="1" w:styleId="48">
    <w:name w:val="明显强调1"/>
    <w:basedOn w:val="25"/>
    <w:qFormat/>
    <w:uiPriority w:val="21"/>
    <w:rPr>
      <w:b/>
      <w:bCs/>
      <w:i/>
      <w:iCs/>
      <w:color w:val="auto"/>
    </w:rPr>
  </w:style>
  <w:style w:type="character" w:customStyle="1" w:styleId="49">
    <w:name w:val="不明显参考1"/>
    <w:basedOn w:val="25"/>
    <w:qFormat/>
    <w:uiPriority w:val="31"/>
    <w:rPr>
      <w:smallCaps/>
      <w:color w:val="auto"/>
      <w:u w:val="single" w:color="7E7E7E" w:themeColor="text1" w:themeTint="80"/>
    </w:rPr>
  </w:style>
  <w:style w:type="character" w:customStyle="1" w:styleId="50">
    <w:name w:val="明显参考1"/>
    <w:basedOn w:val="25"/>
    <w:qFormat/>
    <w:uiPriority w:val="32"/>
    <w:rPr>
      <w:b/>
      <w:bCs/>
      <w:smallCaps/>
      <w:color w:val="auto"/>
      <w:u w:val="single"/>
    </w:rPr>
  </w:style>
  <w:style w:type="character" w:customStyle="1" w:styleId="51">
    <w:name w:val="书籍标题1"/>
    <w:basedOn w:val="25"/>
    <w:qFormat/>
    <w:uiPriority w:val="33"/>
    <w:rPr>
      <w:b/>
      <w:bCs/>
      <w:smallCaps/>
      <w:color w:val="auto"/>
    </w:rPr>
  </w:style>
  <w:style w:type="paragraph" w:customStyle="1" w:styleId="52">
    <w:name w:val="TOC 标题1"/>
    <w:basedOn w:val="2"/>
    <w:next w:val="1"/>
    <w:unhideWhenUsed/>
    <w:qFormat/>
    <w:uiPriority w:val="39"/>
    <w:pPr>
      <w:outlineLvl w:val="9"/>
    </w:pPr>
  </w:style>
  <w:style w:type="character" w:customStyle="1" w:styleId="53">
    <w:name w:val="页眉 字符"/>
    <w:basedOn w:val="25"/>
    <w:link w:val="17"/>
    <w:qFormat/>
    <w:uiPriority w:val="99"/>
    <w:rPr>
      <w:sz w:val="18"/>
      <w:szCs w:val="18"/>
    </w:rPr>
  </w:style>
  <w:style w:type="character" w:customStyle="1" w:styleId="54">
    <w:name w:val="页脚 字符"/>
    <w:basedOn w:val="25"/>
    <w:link w:val="16"/>
    <w:qFormat/>
    <w:uiPriority w:val="99"/>
    <w:rPr>
      <w:sz w:val="18"/>
      <w:szCs w:val="18"/>
    </w:rPr>
  </w:style>
  <w:style w:type="character" w:customStyle="1" w:styleId="55">
    <w:name w:val="批注文字 字符"/>
    <w:basedOn w:val="25"/>
    <w:link w:val="12"/>
    <w:semiHidden/>
    <w:qFormat/>
    <w:uiPriority w:val="99"/>
    <w:rPr>
      <w:kern w:val="2"/>
      <w:sz w:val="21"/>
    </w:rPr>
  </w:style>
  <w:style w:type="character" w:customStyle="1" w:styleId="56">
    <w:name w:val="批注框文本 字符"/>
    <w:basedOn w:val="25"/>
    <w:link w:val="15"/>
    <w:semiHidden/>
    <w:qFormat/>
    <w:uiPriority w:val="99"/>
    <w:rPr>
      <w:sz w:val="18"/>
      <w:szCs w:val="18"/>
    </w:rPr>
  </w:style>
  <w:style w:type="character" w:customStyle="1" w:styleId="57">
    <w:name w:val="批注主题 字符"/>
    <w:basedOn w:val="55"/>
    <w:link w:val="23"/>
    <w:semiHidden/>
    <w:qFormat/>
    <w:uiPriority w:val="99"/>
    <w:rPr>
      <w:b/>
      <w:bCs/>
      <w:kern w:val="2"/>
      <w:sz w:val="21"/>
    </w:rPr>
  </w:style>
  <w:style w:type="character" w:customStyle="1" w:styleId="58">
    <w:name w:val="日期 字符"/>
    <w:basedOn w:val="25"/>
    <w:link w:val="14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平面">
  <a:themeElements>
    <a:clrScheme name="平面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平面">
      <a:majorFont>
        <a:latin typeface="Trebuchet MS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平面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6D4CC-2AED-4307-AA09-08D7C170E2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Qihoo360</Company>
  <Pages>9</Pages>
  <Words>3946</Words>
  <Characters>4225</Characters>
  <Lines>31</Lines>
  <Paragraphs>8</Paragraphs>
  <TotalTime>11</TotalTime>
  <ScaleCrop>false</ScaleCrop>
  <LinksUpToDate>false</LinksUpToDate>
  <CharactersWithSpaces>4251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2024-11-28T04:07:00Z</dcterms:created>
  <dc:creator>蔡雨彤</dc:creator>
  <cp:lastModifiedBy>miya</cp:lastModifiedBy>
  <cp:lastPrinted>2022-08-04T08:04:00Z</cp:lastPrinted>
  <dcterms:modified xsi:type="dcterms:W3CDTF">2025-12-30T06:29:34Z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eyJoZGlkIjoiMjJlYjI0MmZkODYyZWE5N2MxZTgyYTUwZDgwZjlkODYiLCJ1c2VySWQiOiIzNzYzODM2OTEifQ==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4535A5D517AC48A7AB400ED9588EAA35_13</vt:lpwstr>
  </property>
</Properties>
</file>