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6A489C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商业化-出海业务客户开发规则</w:t>
      </w:r>
    </w:p>
    <w:p w14:paraId="74FEA682">
      <w:pPr>
        <w:pStyle w:val="2"/>
        <w:keepNext w:val="0"/>
        <w:keepLines w:val="0"/>
        <w:widowControl w:val="0"/>
        <w:numPr>
          <w:ilvl w:val="0"/>
          <w:numId w:val="1"/>
        </w:numPr>
        <w:spacing w:line="360" w:lineRule="auto"/>
        <w:rPr>
          <w:rFonts w:ascii="微软雅黑" w:hAnsi="微软雅黑" w:eastAsia="微软雅黑"/>
          <w:sz w:val="21"/>
          <w:szCs w:val="21"/>
        </w:rPr>
      </w:pPr>
      <w:r>
        <w:rPr>
          <w:rFonts w:hint="eastAsia" w:ascii="微软雅黑" w:hAnsi="微软雅黑" w:eastAsia="微软雅黑"/>
          <w:sz w:val="21"/>
          <w:szCs w:val="21"/>
        </w:rPr>
        <w:t>目的</w:t>
      </w:r>
    </w:p>
    <w:p w14:paraId="6846C262">
      <w:pPr>
        <w:spacing w:line="360" w:lineRule="auto"/>
        <w:ind w:firstLine="420"/>
        <w:rPr>
          <w:rFonts w:ascii="微软雅黑" w:hAnsi="微软雅黑" w:eastAsia="微软雅黑"/>
          <w:sz w:val="20"/>
        </w:rPr>
      </w:pPr>
      <w:r>
        <w:rPr>
          <w:rFonts w:ascii="微软雅黑" w:hAnsi="微软雅黑" w:eastAsia="微软雅黑"/>
          <w:sz w:val="20"/>
        </w:rPr>
        <w:t>为了</w:t>
      </w:r>
      <w:r>
        <w:rPr>
          <w:rFonts w:hint="eastAsia" w:ascii="微软雅黑" w:hAnsi="微软雅黑" w:eastAsia="微软雅黑"/>
          <w:sz w:val="20"/>
          <w:lang w:val="en-US" w:eastAsia="zh-CN"/>
        </w:rPr>
        <w:t>确保商业化业务</w:t>
      </w:r>
      <w:r>
        <w:rPr>
          <w:rFonts w:ascii="微软雅黑" w:hAnsi="微软雅黑" w:eastAsia="微软雅黑"/>
          <w:sz w:val="20"/>
        </w:rPr>
        <w:t>客户开发流转秩序，鼓励良性竞争。特制定</w:t>
      </w:r>
      <w:r>
        <w:rPr>
          <w:rFonts w:hint="eastAsia" w:ascii="微软雅黑" w:hAnsi="微软雅黑" w:eastAsia="微软雅黑"/>
          <w:sz w:val="20"/>
          <w:lang w:val="en-US" w:eastAsia="zh-CN"/>
        </w:rPr>
        <w:t>出海业务</w:t>
      </w:r>
      <w:r>
        <w:rPr>
          <w:rFonts w:ascii="微软雅黑" w:hAnsi="微软雅黑" w:eastAsia="微软雅黑"/>
          <w:sz w:val="20"/>
        </w:rPr>
        <w:t>客户开发管理规则。</w:t>
      </w:r>
    </w:p>
    <w:p w14:paraId="0B1CE37A">
      <w:pPr>
        <w:pStyle w:val="2"/>
        <w:keepNext w:val="0"/>
        <w:keepLines w:val="0"/>
        <w:widowControl w:val="0"/>
        <w:numPr>
          <w:ilvl w:val="0"/>
          <w:numId w:val="1"/>
        </w:numPr>
        <w:spacing w:line="360" w:lineRule="auto"/>
        <w:rPr>
          <w:rFonts w:ascii="微软雅黑" w:hAnsi="微软雅黑" w:eastAsia="微软雅黑"/>
          <w:sz w:val="21"/>
          <w:szCs w:val="21"/>
        </w:rPr>
      </w:pPr>
      <w:r>
        <w:rPr>
          <w:rFonts w:hint="eastAsia" w:ascii="微软雅黑" w:hAnsi="微软雅黑" w:eastAsia="微软雅黑"/>
          <w:sz w:val="21"/>
          <w:szCs w:val="21"/>
        </w:rPr>
        <w:t>适用范围</w:t>
      </w:r>
    </w:p>
    <w:p w14:paraId="68DBB980">
      <w:pPr>
        <w:numPr>
          <w:ilvl w:val="0"/>
          <w:numId w:val="2"/>
        </w:numPr>
        <w:rPr>
          <w:rFonts w:hint="eastAsia" w:ascii="微软雅黑" w:hAnsi="微软雅黑" w:eastAsia="微软雅黑"/>
          <w:b w:val="0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b w:val="0"/>
          <w:bCs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业务范围：本规则适用于</w:t>
      </w:r>
      <w:r>
        <w:rPr>
          <w:rFonts w:hint="eastAsia" w:ascii="微软雅黑" w:hAnsi="微软雅黑" w:eastAsia="微软雅黑"/>
          <w:b w:val="0"/>
          <w:bCs/>
          <w:color w:val="C00000"/>
          <w:sz w:val="20"/>
          <w:szCs w:val="20"/>
          <w:lang w:val="en-US" w:eastAsia="zh-CN"/>
        </w:rPr>
        <w:t>360的出海业务；</w:t>
      </w:r>
    </w:p>
    <w:p w14:paraId="6F2AB951">
      <w:pPr>
        <w:numPr>
          <w:ilvl w:val="0"/>
          <w:numId w:val="2"/>
        </w:numPr>
        <w:rPr>
          <w:rFonts w:hint="eastAsia" w:ascii="微软雅黑" w:hAnsi="微软雅黑" w:eastAsia="微软雅黑"/>
          <w:b w:val="0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b w:val="0"/>
          <w:bCs/>
          <w:sz w:val="20"/>
          <w:lang w:val="en-US" w:eastAsia="zh-CN"/>
        </w:rPr>
        <w:t>销售范围：</w:t>
      </w:r>
      <w:r>
        <w:rPr>
          <w:rFonts w:hint="eastAsia" w:ascii="微软雅黑" w:hAnsi="微软雅黑" w:eastAsia="微软雅黑"/>
          <w:b w:val="0"/>
          <w:bCs/>
          <w:sz w:val="20"/>
        </w:rPr>
        <w:t>本规则适用于</w:t>
      </w:r>
      <w:r>
        <w:rPr>
          <w:rFonts w:hint="eastAsia" w:ascii="微软雅黑" w:hAnsi="微软雅黑" w:eastAsia="微软雅黑"/>
          <w:b w:val="0"/>
          <w:bCs/>
          <w:color w:val="C00000"/>
          <w:sz w:val="20"/>
        </w:rPr>
        <w:t>行业群组</w:t>
      </w:r>
      <w:r>
        <w:rPr>
          <w:rFonts w:hint="eastAsia" w:ascii="微软雅黑" w:hAnsi="微软雅黑" w:eastAsia="微软雅黑"/>
          <w:b w:val="0"/>
          <w:bCs/>
          <w:color w:val="C00000"/>
          <w:sz w:val="20"/>
          <w:lang w:val="en-US" w:eastAsia="zh-CN"/>
        </w:rPr>
        <w:t>下属各行业组直客销售及综合渠道下属DSP团队渠道销售</w:t>
      </w:r>
      <w:r>
        <w:rPr>
          <w:rFonts w:hint="eastAsia" w:ascii="微软雅黑" w:hAnsi="微软雅黑" w:eastAsia="微软雅黑"/>
          <w:b w:val="0"/>
          <w:bCs/>
          <w:sz w:val="20"/>
          <w:lang w:val="en-US" w:eastAsia="zh-CN"/>
        </w:rPr>
        <w:t>；</w:t>
      </w:r>
    </w:p>
    <w:p w14:paraId="45CB807D">
      <w:pPr>
        <w:pStyle w:val="2"/>
        <w:keepNext w:val="0"/>
        <w:keepLines w:val="0"/>
        <w:widowControl w:val="0"/>
        <w:numPr>
          <w:ilvl w:val="0"/>
          <w:numId w:val="1"/>
        </w:numPr>
        <w:spacing w:line="360" w:lineRule="auto"/>
        <w:rPr>
          <w:rFonts w:hint="eastAsia" w:ascii="微软雅黑" w:hAnsi="微软雅黑" w:eastAsia="微软雅黑"/>
          <w:b/>
          <w:sz w:val="21"/>
          <w:szCs w:val="21"/>
        </w:rPr>
      </w:pPr>
      <w:r>
        <w:rPr>
          <w:rFonts w:hint="eastAsia" w:ascii="微软雅黑" w:hAnsi="微软雅黑" w:eastAsia="微软雅黑"/>
          <w:b/>
          <w:sz w:val="21"/>
          <w:szCs w:val="21"/>
          <w:lang w:val="en-US" w:eastAsia="zh-CN"/>
        </w:rPr>
        <w:t>开发规则</w:t>
      </w:r>
    </w:p>
    <w:p w14:paraId="6111B6F2">
      <w:pPr>
        <w:numPr>
          <w:ilvl w:val="0"/>
          <w:numId w:val="0"/>
        </w:numPr>
        <w:rPr>
          <w:rFonts w:hint="eastAsia" w:ascii="微软雅黑" w:hAnsi="微软雅黑" w:eastAsia="微软雅黑"/>
          <w:b w:val="0"/>
          <w:bCs w:val="0"/>
          <w:sz w:val="20"/>
        </w:rPr>
      </w:pPr>
      <w:r>
        <w:rPr>
          <w:rFonts w:hint="eastAsia" w:ascii="微软雅黑" w:hAnsi="微软雅黑" w:eastAsia="微软雅黑"/>
          <w:b w:val="0"/>
          <w:bCs w:val="0"/>
          <w:sz w:val="20"/>
          <w:lang w:val="en-US" w:eastAsia="zh-CN"/>
        </w:rPr>
        <w:t>1、基本开发原则：各</w:t>
      </w:r>
      <w:r>
        <w:rPr>
          <w:rFonts w:hint="eastAsia" w:ascii="微软雅黑" w:hAnsi="微软雅黑" w:eastAsia="微软雅黑"/>
          <w:b w:val="0"/>
          <w:bCs w:val="0"/>
          <w:sz w:val="20"/>
        </w:rPr>
        <w:t>销售在跟进客户时，</w:t>
      </w:r>
      <w:r>
        <w:rPr>
          <w:rFonts w:hint="eastAsia" w:ascii="微软雅黑" w:hAnsi="微软雅黑" w:eastAsia="微软雅黑"/>
          <w:b w:val="0"/>
          <w:bCs w:val="0"/>
          <w:sz w:val="20"/>
          <w:lang w:val="en-US" w:eastAsia="zh-CN"/>
        </w:rPr>
        <w:t>遵循</w:t>
      </w:r>
      <w:r>
        <w:rPr>
          <w:rFonts w:hint="eastAsia" w:ascii="微软雅黑" w:hAnsi="微软雅黑" w:eastAsia="微软雅黑"/>
          <w:b/>
          <w:bCs/>
          <w:sz w:val="20"/>
        </w:rPr>
        <w:t>先到先得</w:t>
      </w:r>
      <w:r>
        <w:rPr>
          <w:rFonts w:hint="eastAsia" w:ascii="微软雅黑" w:hAnsi="微软雅黑" w:eastAsia="微软雅黑"/>
          <w:b w:val="0"/>
          <w:bCs w:val="0"/>
          <w:sz w:val="20"/>
          <w:lang w:val="en-US" w:eastAsia="zh-CN"/>
        </w:rPr>
        <w:t>原则</w:t>
      </w:r>
      <w:r>
        <w:rPr>
          <w:rFonts w:hint="eastAsia" w:ascii="微软雅黑" w:hAnsi="微软雅黑" w:eastAsia="微软雅黑"/>
          <w:b w:val="0"/>
          <w:bCs w:val="0"/>
          <w:sz w:val="20"/>
        </w:rPr>
        <w:t>。</w:t>
      </w:r>
    </w:p>
    <w:p w14:paraId="27A86F9A">
      <w:pPr>
        <w:numPr>
          <w:ilvl w:val="0"/>
          <w:numId w:val="0"/>
        </w:numPr>
        <w:rPr>
          <w:rFonts w:hint="default" w:ascii="微软雅黑" w:hAnsi="微软雅黑" w:eastAsia="微软雅黑"/>
          <w:b w:val="0"/>
          <w:bCs w:val="0"/>
          <w:sz w:val="20"/>
          <w:lang w:val="en-US" w:eastAsia="zh-CN"/>
        </w:rPr>
      </w:pPr>
      <w:r>
        <w:rPr>
          <w:rFonts w:hint="eastAsia" w:ascii="微软雅黑" w:hAnsi="微软雅黑" w:eastAsia="微软雅黑"/>
          <w:b w:val="0"/>
          <w:bCs w:val="0"/>
          <w:sz w:val="20"/>
          <w:lang w:val="en-US" w:eastAsia="zh-CN"/>
        </w:rPr>
        <w:t>2、判定依据：以录入CRM系统时间为准。</w:t>
      </w:r>
    </w:p>
    <w:p w14:paraId="7B029896">
      <w:pPr>
        <w:numPr>
          <w:ilvl w:val="0"/>
          <w:numId w:val="0"/>
        </w:numPr>
        <w:rPr>
          <w:rFonts w:hint="eastAsia" w:ascii="微软雅黑" w:hAnsi="微软雅黑" w:eastAsia="微软雅黑"/>
          <w:b w:val="0"/>
          <w:bCs w:val="0"/>
          <w:sz w:val="20"/>
          <w:lang w:val="en-US" w:eastAsia="zh-CN"/>
        </w:rPr>
      </w:pPr>
      <w:r>
        <w:rPr>
          <w:rFonts w:hint="eastAsia" w:ascii="微软雅黑" w:hAnsi="微软雅黑" w:eastAsia="微软雅黑"/>
          <w:b w:val="0"/>
          <w:bCs w:val="0"/>
          <w:sz w:val="20"/>
          <w:lang w:val="en-US" w:eastAsia="zh-CN"/>
        </w:rPr>
        <w:t>3、保护期：1个月；保护期内未下单，其他销售可申请跟进开发；</w:t>
      </w:r>
    </w:p>
    <w:p w14:paraId="0A4440EB">
      <w:pPr>
        <w:spacing w:line="360" w:lineRule="auto"/>
        <w:rPr>
          <w:rFonts w:hint="eastAsia" w:ascii="微软雅黑" w:hAnsi="微软雅黑" w:eastAsia="微软雅黑"/>
          <w:b w:val="0"/>
          <w:bCs w:val="0"/>
          <w:sz w:val="20"/>
          <w:lang w:val="en-US" w:eastAsia="zh-CN"/>
        </w:rPr>
      </w:pPr>
      <w:r>
        <w:rPr>
          <w:rFonts w:hint="eastAsia" w:ascii="微软雅黑" w:hAnsi="微软雅黑" w:eastAsia="微软雅黑"/>
          <w:sz w:val="20"/>
          <w:szCs w:val="20"/>
          <w:lang w:val="en-US" w:eastAsia="zh-CN"/>
        </w:rPr>
        <w:t>4、同一</w:t>
      </w:r>
      <w:r>
        <w:rPr>
          <w:rFonts w:hint="eastAsia" w:ascii="微软雅黑" w:hAnsi="微软雅黑" w:eastAsia="微软雅黑"/>
          <w:sz w:val="20"/>
          <w:szCs w:val="20"/>
        </w:rPr>
        <w:t>销售对相同客户申请</w:t>
      </w:r>
      <w:r>
        <w:rPr>
          <w:rFonts w:hint="eastAsia" w:ascii="微软雅黑" w:hAnsi="微软雅黑" w:eastAsia="微软雅黑"/>
          <w:sz w:val="20"/>
          <w:szCs w:val="20"/>
          <w:lang w:val="en-US" w:eastAsia="zh-CN"/>
        </w:rPr>
        <w:t>跟进次数不得</w:t>
      </w:r>
      <w:r>
        <w:rPr>
          <w:rFonts w:hint="eastAsia" w:ascii="微软雅黑" w:hAnsi="微软雅黑" w:eastAsia="微软雅黑"/>
          <w:sz w:val="20"/>
          <w:szCs w:val="20"/>
        </w:rPr>
        <w:t>超过</w:t>
      </w:r>
      <w:r>
        <w:rPr>
          <w:rFonts w:hint="eastAsia" w:ascii="微软雅黑" w:hAnsi="微软雅黑" w:eastAsia="微软雅黑"/>
          <w:sz w:val="20"/>
          <w:szCs w:val="20"/>
          <w:highlight w:val="yellow"/>
          <w:lang w:val="en-US" w:eastAsia="zh-CN"/>
        </w:rPr>
        <w:t>3次，</w:t>
      </w:r>
      <w:r>
        <w:rPr>
          <w:rFonts w:hint="eastAsia" w:ascii="微软雅黑" w:hAnsi="微软雅黑" w:eastAsia="微软雅黑"/>
          <w:sz w:val="20"/>
          <w:szCs w:val="20"/>
          <w:highlight w:val="yellow"/>
        </w:rPr>
        <w:t>若第三次申领后仍未成单，该销售将不可继续申请该客户公共池转移</w:t>
      </w:r>
      <w:r>
        <w:rPr>
          <w:rFonts w:hint="eastAsia" w:ascii="微软雅黑" w:hAnsi="微软雅黑" w:eastAsia="微软雅黑"/>
          <w:sz w:val="20"/>
          <w:szCs w:val="20"/>
          <w:lang w:eastAsia="zh-CN"/>
        </w:rPr>
        <w:t>；</w:t>
      </w:r>
    </w:p>
    <w:p w14:paraId="1DAF2CD6">
      <w:pPr>
        <w:pStyle w:val="2"/>
        <w:keepNext w:val="0"/>
        <w:keepLines w:val="0"/>
        <w:widowControl w:val="0"/>
        <w:numPr>
          <w:ilvl w:val="0"/>
          <w:numId w:val="1"/>
        </w:numPr>
        <w:spacing w:line="360" w:lineRule="auto"/>
        <w:rPr>
          <w:rFonts w:hint="eastAsia" w:ascii="微软雅黑" w:hAnsi="微软雅黑" w:eastAsia="微软雅黑"/>
          <w:b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/>
          <w:b/>
          <w:sz w:val="21"/>
          <w:szCs w:val="21"/>
          <w:lang w:val="en-US" w:eastAsia="zh-CN"/>
        </w:rPr>
        <w:t>流转规则</w:t>
      </w:r>
      <w:bookmarkStart w:id="0" w:name="_GoBack"/>
      <w:bookmarkEnd w:id="0"/>
    </w:p>
    <w:p w14:paraId="14B6004D">
      <w:pPr>
        <w:spacing w:line="360" w:lineRule="auto"/>
        <w:rPr>
          <w:rFonts w:hint="eastAsia" w:ascii="微软雅黑" w:hAnsi="微软雅黑" w:eastAsia="微软雅黑"/>
          <w:sz w:val="20"/>
          <w:lang w:val="en-US" w:eastAsia="zh-CN"/>
        </w:rPr>
      </w:pPr>
      <w:r>
        <w:rPr>
          <w:rFonts w:hint="eastAsia" w:ascii="微软雅黑" w:hAnsi="微软雅黑" w:eastAsia="微软雅黑"/>
          <w:sz w:val="20"/>
        </w:rPr>
        <w:t>销售侧根据</w:t>
      </w:r>
      <w:r>
        <w:rPr>
          <w:rFonts w:hint="eastAsia" w:ascii="微软雅黑" w:hAnsi="微软雅黑" w:eastAsia="微软雅黑"/>
          <w:sz w:val="20"/>
          <w:lang w:val="en-US" w:eastAsia="zh-CN"/>
        </w:rPr>
        <w:t>不同的客户状态类型</w:t>
      </w:r>
      <w:r>
        <w:rPr>
          <w:rFonts w:hint="eastAsia" w:ascii="微软雅黑" w:hAnsi="微软雅黑" w:eastAsia="微软雅黑"/>
          <w:sz w:val="20"/>
        </w:rPr>
        <w:t>，</w:t>
      </w:r>
      <w:r>
        <w:rPr>
          <w:rFonts w:hint="eastAsia" w:ascii="微软雅黑" w:hAnsi="微软雅黑" w:eastAsia="微软雅黑"/>
          <w:sz w:val="20"/>
          <w:lang w:val="en-US" w:eastAsia="zh-CN"/>
        </w:rPr>
        <w:t>按照以下要求进行流转。</w:t>
      </w:r>
    </w:p>
    <w:p w14:paraId="190DD58D">
      <w:pPr>
        <w:numPr>
          <w:ilvl w:val="0"/>
          <w:numId w:val="3"/>
        </w:numPr>
        <w:spacing w:line="360" w:lineRule="auto"/>
        <w:rPr>
          <w:rFonts w:ascii="微软雅黑" w:hAnsi="微软雅黑" w:eastAsia="微软雅黑"/>
          <w:sz w:val="20"/>
        </w:rPr>
      </w:pPr>
      <w:r>
        <w:rPr>
          <w:rFonts w:ascii="微软雅黑" w:hAnsi="微软雅黑" w:eastAsia="微软雅黑"/>
          <w:sz w:val="20"/>
        </w:rPr>
        <w:t>保护期内客户转移：需提供原销售的确认邮件；</w:t>
      </w:r>
    </w:p>
    <w:p w14:paraId="69066583">
      <w:pPr>
        <w:spacing w:line="360" w:lineRule="auto"/>
        <w:rPr>
          <w:rFonts w:ascii="微软雅黑" w:hAnsi="微软雅黑" w:eastAsia="微软雅黑"/>
          <w:sz w:val="20"/>
        </w:rPr>
      </w:pPr>
      <w:r>
        <w:rPr>
          <w:rFonts w:ascii="微软雅黑" w:hAnsi="微软雅黑" w:eastAsia="微软雅黑"/>
          <w:sz w:val="20"/>
        </w:rPr>
        <w:t>2</w:t>
      </w:r>
      <w:r>
        <w:rPr>
          <w:rFonts w:hint="eastAsia" w:ascii="微软雅黑" w:hAnsi="微软雅黑" w:eastAsia="微软雅黑"/>
          <w:sz w:val="20"/>
        </w:rPr>
        <w:t>、</w:t>
      </w:r>
      <w:r>
        <w:rPr>
          <w:rFonts w:ascii="微软雅黑" w:hAnsi="微软雅黑" w:eastAsia="微软雅黑"/>
          <w:sz w:val="20"/>
        </w:rPr>
        <w:t>生效客户转移：</w:t>
      </w:r>
    </w:p>
    <w:p w14:paraId="20042A90">
      <w:pPr>
        <w:ind w:left="0" w:leftChars="0" w:firstLine="400" w:firstLineChars="200"/>
        <w:rPr>
          <w:rFonts w:hint="default" w:ascii="微软雅黑" w:hAnsi="微软雅黑" w:eastAsia="微软雅黑"/>
          <w:sz w:val="20"/>
          <w:lang w:val="en-US" w:eastAsia="zh-CN"/>
        </w:rPr>
      </w:pPr>
      <w:r>
        <w:rPr>
          <w:rFonts w:hint="eastAsia" w:ascii="微软雅黑" w:hAnsi="微软雅黑" w:eastAsia="微软雅黑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1）定义：生效客户指</w:t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近</w:t>
      </w:r>
      <w:r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6个月日均毛毛消费大于10元</w:t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（含）</w:t>
      </w:r>
      <w:r>
        <w:rPr>
          <w:rFonts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的客户</w:t>
      </w:r>
      <w:r>
        <w:rPr>
          <w:rFonts w:hint="eastAsia" w:ascii="微软雅黑" w:hAnsi="微软雅黑" w:eastAsia="微软雅黑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；</w:t>
      </w:r>
    </w:p>
    <w:p w14:paraId="1E25426E">
      <w:pPr>
        <w:spacing w:line="360" w:lineRule="auto"/>
        <w:ind w:left="0" w:leftChars="0" w:firstLine="400" w:firstLineChars="200"/>
        <w:rPr>
          <w:rFonts w:ascii="微软雅黑" w:hAnsi="微软雅黑" w:eastAsia="微软雅黑"/>
          <w:sz w:val="20"/>
        </w:rPr>
      </w:pPr>
      <w:r>
        <w:rPr>
          <w:rFonts w:hint="eastAsia" w:ascii="微软雅黑" w:hAnsi="微软雅黑" w:eastAsia="微软雅黑"/>
          <w:sz w:val="20"/>
          <w:lang w:val="en-US" w:eastAsia="zh-CN"/>
        </w:rPr>
        <w:t>2</w:t>
      </w:r>
      <w:r>
        <w:rPr>
          <w:rFonts w:hint="eastAsia" w:ascii="微软雅黑" w:hAnsi="微软雅黑" w:eastAsia="微软雅黑"/>
          <w:sz w:val="20"/>
        </w:rPr>
        <w:t>）</w:t>
      </w:r>
      <w:r>
        <w:rPr>
          <w:rFonts w:hint="eastAsia" w:ascii="微软雅黑" w:hAnsi="微软雅黑" w:eastAsia="微软雅黑"/>
          <w:sz w:val="20"/>
          <w:lang w:val="en-US" w:eastAsia="zh-CN"/>
        </w:rPr>
        <w:t>审批流</w:t>
      </w:r>
      <w:r>
        <w:rPr>
          <w:rFonts w:ascii="微软雅黑" w:hAnsi="微软雅黑" w:eastAsia="微软雅黑"/>
          <w:sz w:val="20"/>
        </w:rPr>
        <w:t>：</w:t>
      </w:r>
    </w:p>
    <w:p w14:paraId="082A2960">
      <w:pPr>
        <w:spacing w:line="360" w:lineRule="auto"/>
        <w:ind w:left="0" w:leftChars="0" w:firstLine="400" w:firstLineChars="200"/>
        <w:rPr>
          <w:rFonts w:hint="default" w:ascii="微软雅黑" w:hAnsi="微软雅黑" w:eastAsia="微软雅黑"/>
          <w:sz w:val="20"/>
          <w:lang w:val="en-US" w:eastAsia="zh-CN"/>
        </w:rPr>
      </w:pPr>
      <w:r>
        <w:rPr>
          <w:rFonts w:hint="eastAsia" w:ascii="微软雅黑" w:hAnsi="微软雅黑" w:eastAsia="微软雅黑"/>
          <w:sz w:val="20"/>
          <w:lang w:val="en-US" w:eastAsia="zh-CN"/>
        </w:rPr>
        <w:t>按以下转移类型，提供相应审批邮件进行转移；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6"/>
        <w:gridCol w:w="3890"/>
        <w:gridCol w:w="1730"/>
        <w:gridCol w:w="1654"/>
      </w:tblGrid>
      <w:tr w14:paraId="64078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6" w:type="dxa"/>
            <w:gridSpan w:val="2"/>
          </w:tcPr>
          <w:p w14:paraId="43D6340E">
            <w:pPr>
              <w:spacing w:line="360" w:lineRule="auto"/>
              <w:jc w:val="center"/>
              <w:rPr>
                <w:rFonts w:hint="default" w:ascii="微软雅黑" w:hAnsi="微软雅黑" w:eastAsia="微软雅黑"/>
                <w:sz w:val="18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22"/>
                <w:vertAlign w:val="baseline"/>
                <w:lang w:val="en-US" w:eastAsia="zh-CN"/>
              </w:rPr>
              <w:t>转移类型</w:t>
            </w:r>
          </w:p>
        </w:tc>
        <w:tc>
          <w:tcPr>
            <w:tcW w:w="1730" w:type="dxa"/>
          </w:tcPr>
          <w:p w14:paraId="1FE65F3E">
            <w:pPr>
              <w:spacing w:line="360" w:lineRule="auto"/>
              <w:jc w:val="center"/>
              <w:rPr>
                <w:rFonts w:hint="default" w:ascii="微软雅黑" w:hAnsi="微软雅黑" w:eastAsia="微软雅黑"/>
                <w:sz w:val="18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22"/>
                <w:vertAlign w:val="baseline"/>
                <w:lang w:val="en-US" w:eastAsia="zh-CN"/>
              </w:rPr>
              <w:t>行业群组审批人</w:t>
            </w:r>
          </w:p>
        </w:tc>
        <w:tc>
          <w:tcPr>
            <w:tcW w:w="1654" w:type="dxa"/>
          </w:tcPr>
          <w:p w14:paraId="41AD5B82">
            <w:pPr>
              <w:spacing w:line="360" w:lineRule="auto"/>
              <w:jc w:val="center"/>
              <w:rPr>
                <w:rFonts w:hint="default" w:ascii="微软雅黑" w:hAnsi="微软雅黑" w:eastAsia="微软雅黑"/>
                <w:sz w:val="18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22"/>
                <w:vertAlign w:val="baseline"/>
                <w:lang w:val="en-US" w:eastAsia="zh-CN"/>
              </w:rPr>
              <w:t>综合渠道审批人</w:t>
            </w:r>
          </w:p>
        </w:tc>
      </w:tr>
      <w:tr w14:paraId="30A64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6" w:type="dxa"/>
            <w:vMerge w:val="restart"/>
          </w:tcPr>
          <w:p w14:paraId="5306F20E">
            <w:pPr>
              <w:spacing w:line="360" w:lineRule="auto"/>
              <w:rPr>
                <w:rFonts w:hint="default" w:ascii="微软雅黑" w:hAnsi="微软雅黑" w:eastAsia="微软雅黑"/>
                <w:sz w:val="18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22"/>
                <w:lang w:val="en-US" w:eastAsia="zh-CN"/>
              </w:rPr>
              <w:t>销售体系内</w:t>
            </w:r>
          </w:p>
        </w:tc>
        <w:tc>
          <w:tcPr>
            <w:tcW w:w="3890" w:type="dxa"/>
          </w:tcPr>
          <w:p w14:paraId="52D77EE9">
            <w:pPr>
              <w:spacing w:line="360" w:lineRule="auto"/>
              <w:rPr>
                <w:rFonts w:hint="default" w:ascii="微软雅黑" w:hAnsi="微软雅黑" w:eastAsia="微软雅黑"/>
                <w:sz w:val="18"/>
                <w:szCs w:val="22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  <w:szCs w:val="22"/>
              </w:rPr>
              <w:t>每季度前两个月的客户转移及第三个月的新开客户转移</w:t>
            </w:r>
          </w:p>
        </w:tc>
        <w:tc>
          <w:tcPr>
            <w:tcW w:w="1730" w:type="dxa"/>
          </w:tcPr>
          <w:p w14:paraId="1855FA9E">
            <w:pPr>
              <w:spacing w:line="360" w:lineRule="auto"/>
              <w:rPr>
                <w:rFonts w:hint="default" w:ascii="微软雅黑" w:hAnsi="微软雅黑" w:eastAsia="微软雅黑"/>
                <w:sz w:val="18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22"/>
                <w:vertAlign w:val="baseline"/>
                <w:lang w:val="en-US" w:eastAsia="zh-CN"/>
              </w:rPr>
              <w:t>行业部leader</w:t>
            </w:r>
          </w:p>
        </w:tc>
        <w:tc>
          <w:tcPr>
            <w:tcW w:w="1654" w:type="dxa"/>
          </w:tcPr>
          <w:p w14:paraId="3253E60F">
            <w:pPr>
              <w:spacing w:line="360" w:lineRule="auto"/>
              <w:rPr>
                <w:rFonts w:hint="default" w:ascii="微软雅黑" w:hAnsi="微软雅黑" w:eastAsia="微软雅黑"/>
                <w:sz w:val="18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22"/>
                <w:vertAlign w:val="baseline"/>
                <w:lang w:val="en-US" w:eastAsia="zh-CN"/>
              </w:rPr>
              <w:t>效果渠道leader</w:t>
            </w:r>
          </w:p>
        </w:tc>
      </w:tr>
      <w:tr w14:paraId="60CCA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6" w:type="dxa"/>
            <w:vMerge w:val="continue"/>
          </w:tcPr>
          <w:p w14:paraId="2E4509B5">
            <w:pPr>
              <w:spacing w:line="360" w:lineRule="auto"/>
              <w:rPr>
                <w:rFonts w:ascii="微软雅黑" w:hAnsi="微软雅黑" w:eastAsia="微软雅黑"/>
                <w:sz w:val="18"/>
                <w:szCs w:val="22"/>
              </w:rPr>
            </w:pPr>
          </w:p>
        </w:tc>
        <w:tc>
          <w:tcPr>
            <w:tcW w:w="3890" w:type="dxa"/>
          </w:tcPr>
          <w:p w14:paraId="3B01B473">
            <w:pPr>
              <w:spacing w:line="360" w:lineRule="auto"/>
              <w:rPr>
                <w:rFonts w:hint="default" w:ascii="微软雅黑" w:hAnsi="微软雅黑" w:eastAsia="微软雅黑"/>
                <w:sz w:val="18"/>
                <w:szCs w:val="22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  <w:szCs w:val="22"/>
              </w:rPr>
              <w:t>每季度第三个月的存量客户转移</w:t>
            </w:r>
          </w:p>
        </w:tc>
        <w:tc>
          <w:tcPr>
            <w:tcW w:w="1730" w:type="dxa"/>
          </w:tcPr>
          <w:p w14:paraId="6C56A439">
            <w:pPr>
              <w:spacing w:line="360" w:lineRule="auto"/>
              <w:rPr>
                <w:rFonts w:hint="default" w:ascii="微软雅黑" w:hAnsi="微软雅黑" w:eastAsia="微软雅黑"/>
                <w:sz w:val="18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22"/>
                <w:vertAlign w:val="baseline"/>
                <w:lang w:val="en-US" w:eastAsia="zh-CN"/>
              </w:rPr>
              <w:t>行业群组leader</w:t>
            </w:r>
          </w:p>
        </w:tc>
        <w:tc>
          <w:tcPr>
            <w:tcW w:w="1654" w:type="dxa"/>
          </w:tcPr>
          <w:p w14:paraId="6C70E6C0">
            <w:pPr>
              <w:spacing w:line="360" w:lineRule="auto"/>
              <w:rPr>
                <w:rFonts w:hint="default" w:ascii="微软雅黑" w:hAnsi="微软雅黑" w:eastAsia="微软雅黑"/>
                <w:sz w:val="18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22"/>
                <w:vertAlign w:val="baseline"/>
                <w:lang w:val="en-US" w:eastAsia="zh-CN"/>
              </w:rPr>
              <w:t>综合渠道leader</w:t>
            </w:r>
          </w:p>
        </w:tc>
      </w:tr>
      <w:tr w14:paraId="12B85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6" w:type="dxa"/>
            <w:gridSpan w:val="2"/>
          </w:tcPr>
          <w:p w14:paraId="566C37E6">
            <w:pPr>
              <w:spacing w:line="360" w:lineRule="auto"/>
              <w:jc w:val="center"/>
              <w:rPr>
                <w:rFonts w:ascii="微软雅黑" w:hAnsi="微软雅黑" w:eastAsia="微软雅黑"/>
                <w:sz w:val="18"/>
                <w:szCs w:val="22"/>
              </w:rPr>
            </w:pPr>
            <w:r>
              <w:rPr>
                <w:rFonts w:hint="eastAsia" w:ascii="微软雅黑" w:hAnsi="微软雅黑" w:eastAsia="微软雅黑"/>
                <w:sz w:val="18"/>
                <w:szCs w:val="22"/>
                <w:lang w:val="en-US" w:eastAsia="zh-CN"/>
              </w:rPr>
              <w:t>跨销售体系</w:t>
            </w:r>
          </w:p>
        </w:tc>
        <w:tc>
          <w:tcPr>
            <w:tcW w:w="1730" w:type="dxa"/>
          </w:tcPr>
          <w:p w14:paraId="23B325A7">
            <w:pPr>
              <w:spacing w:line="360" w:lineRule="auto"/>
              <w:rPr>
                <w:rFonts w:hint="eastAsia" w:ascii="微软雅黑" w:hAnsi="微软雅黑" w:eastAsia="微软雅黑"/>
                <w:sz w:val="18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22"/>
                <w:lang w:val="en-US" w:eastAsia="zh-CN"/>
              </w:rPr>
              <w:t>行业群组leader</w:t>
            </w:r>
          </w:p>
        </w:tc>
        <w:tc>
          <w:tcPr>
            <w:tcW w:w="1654" w:type="dxa"/>
          </w:tcPr>
          <w:p w14:paraId="1727F61D">
            <w:pPr>
              <w:spacing w:line="360" w:lineRule="auto"/>
              <w:rPr>
                <w:rFonts w:hint="eastAsia" w:ascii="微软雅黑" w:hAnsi="微软雅黑" w:eastAsia="微软雅黑"/>
                <w:sz w:val="18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22"/>
                <w:lang w:val="en-US" w:eastAsia="zh-CN"/>
              </w:rPr>
              <w:t>综合渠道leader</w:t>
            </w:r>
          </w:p>
        </w:tc>
      </w:tr>
    </w:tbl>
    <w:p w14:paraId="702D4686">
      <w:pPr>
        <w:pStyle w:val="2"/>
        <w:keepNext w:val="0"/>
        <w:keepLines w:val="0"/>
        <w:widowControl w:val="0"/>
        <w:numPr>
          <w:ilvl w:val="0"/>
          <w:numId w:val="1"/>
        </w:numPr>
        <w:spacing w:line="360" w:lineRule="auto"/>
        <w:rPr>
          <w:rFonts w:hint="eastAsia" w:ascii="微软雅黑" w:hAnsi="微软雅黑" w:eastAsia="微软雅黑"/>
          <w:sz w:val="20"/>
          <w:lang w:val="en-US" w:eastAsia="zh-CN"/>
        </w:rPr>
      </w:pPr>
      <w:r>
        <w:rPr>
          <w:rFonts w:hint="eastAsia" w:ascii="微软雅黑" w:hAnsi="微软雅黑" w:eastAsia="微软雅黑"/>
          <w:sz w:val="20"/>
          <w:lang w:val="en-US" w:eastAsia="zh-CN"/>
        </w:rPr>
        <w:t>执行</w:t>
      </w:r>
      <w:r>
        <w:rPr>
          <w:rFonts w:hint="eastAsia" w:ascii="微软雅黑" w:hAnsi="微软雅黑" w:eastAsia="微软雅黑"/>
          <w:b/>
          <w:sz w:val="21"/>
          <w:szCs w:val="21"/>
          <w:lang w:val="en-US" w:eastAsia="zh-CN"/>
        </w:rPr>
        <w:t>日期</w:t>
      </w:r>
    </w:p>
    <w:p w14:paraId="07FA8C6D">
      <w:pPr>
        <w:rPr>
          <w:rFonts w:hint="eastAsia" w:ascii="微软雅黑" w:hAnsi="微软雅黑" w:eastAsia="微软雅黑"/>
          <w:sz w:val="20"/>
          <w:lang w:val="en-US" w:eastAsia="zh-CN"/>
        </w:rPr>
      </w:pPr>
      <w:r>
        <w:rPr>
          <w:rFonts w:hint="eastAsia" w:ascii="微软雅黑" w:hAnsi="微软雅黑" w:eastAsia="微软雅黑"/>
          <w:sz w:val="20"/>
          <w:lang w:val="en-US" w:eastAsia="zh-CN"/>
        </w:rPr>
        <w:t>本规则自2026年1月1日起开始执行。</w:t>
      </w:r>
    </w:p>
    <w:p w14:paraId="664DBDD0">
      <w:pPr>
        <w:rPr>
          <w:rFonts w:hint="eastAsia" w:ascii="微软雅黑" w:hAnsi="微软雅黑" w:eastAsia="微软雅黑"/>
          <w:sz w:val="20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F0000BE">
      <w:pPr>
        <w:rPr>
          <w:rFonts w:hint="default" w:ascii="微软雅黑" w:hAnsi="微软雅黑" w:eastAsia="微软雅黑"/>
          <w:sz w:val="20"/>
          <w:lang w:val="en-US" w:eastAsia="zh-CN"/>
        </w:rPr>
      </w:pPr>
      <w:r>
        <w:rPr>
          <w:rFonts w:hint="eastAsia" w:ascii="微软雅黑" w:hAnsi="微软雅黑" w:eastAsia="微软雅黑"/>
          <w:sz w:val="20"/>
          <w:lang w:val="en-US" w:eastAsia="zh-CN"/>
        </w:rPr>
        <w:t>**********************以下无正文***************************</w:t>
      </w:r>
    </w:p>
    <w:p w14:paraId="05343E8A">
      <w:pPr>
        <w:spacing w:line="360" w:lineRule="auto"/>
      </w:pPr>
      <w:r>
        <w:rPr>
          <w:rFonts w:ascii="微软雅黑" w:hAnsi="微软雅黑" w:eastAsia="微软雅黑"/>
          <w:sz w:val="20"/>
        </w:rPr>
        <w:t xml:space="preserve">  </w:t>
      </w:r>
    </w:p>
    <w:p w14:paraId="354F4434"/>
    <w:p w14:paraId="5345AF5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7891045">
      <w:pPr>
        <w:rPr>
          <w:rFonts w:hint="default" w:ascii="微软雅黑" w:hAnsi="微软雅黑" w:eastAsia="微软雅黑" w:cs="微软雅黑"/>
          <w:lang w:val="en-US" w:eastAsia="zh-CN"/>
        </w:rPr>
      </w:pPr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1F827B"/>
    <w:multiLevelType w:val="singleLevel"/>
    <w:tmpl w:val="FB1F827B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11DD9CF5"/>
    <w:multiLevelType w:val="singleLevel"/>
    <w:tmpl w:val="11DD9CF5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13D7451A"/>
    <w:multiLevelType w:val="multilevel"/>
    <w:tmpl w:val="13D7451A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eastAsia"/>
        <w:b/>
        <w:bCs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8055D0"/>
    <w:rsid w:val="284A499B"/>
    <w:rsid w:val="335D6E00"/>
    <w:rsid w:val="368055D0"/>
    <w:rsid w:val="435F1881"/>
    <w:rsid w:val="4E8B05C6"/>
    <w:rsid w:val="57A5261B"/>
    <w:rsid w:val="596A1321"/>
    <w:rsid w:val="66507140"/>
    <w:rsid w:val="691A7C0E"/>
    <w:rsid w:val="74484A82"/>
    <w:rsid w:val="7A7E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eastAsia="微软雅黑" w:asciiTheme="majorHAnsi" w:hAnsiTheme="majorHAnsi" w:cstheme="majorBidi"/>
      <w:b/>
      <w:bCs/>
      <w:sz w:val="20"/>
      <w:szCs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466</Words>
  <Characters>554</Characters>
  <Lines>0</Lines>
  <Paragraphs>0</Paragraphs>
  <TotalTime>0</TotalTime>
  <ScaleCrop>false</ScaleCrop>
  <LinksUpToDate>false</LinksUpToDate>
  <CharactersWithSpaces>556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2025-09-22T07:27:00Z</dcterms:created>
  <dc:creator>WPS_1655803554</dc:creator>
  <cp:lastModifiedBy>WPS_1655803554</cp:lastModifiedBy>
  <dcterms:modified xsi:type="dcterms:W3CDTF">2025-11-25T11:54:26Z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CDBDC47664B249508397E1FF07B38D39_11</vt:lpwstr>
  </property>
  <property fmtid="{D5CDD505-2E9C-101B-9397-08002B2CF9AE}" pid="4" name="KSOTemplateDocerSaveRecord">
    <vt:lpwstr>eyJoZGlkIjoiNTQxZDc3Y2ExYWQyOTUwOGZhYzM4MTU1Nzk0YWZkMDAiLCJ1c2VySWQiOiIxMzg3NTE5ODY0In0=</vt:lpwstr>
  </property>
</Properties>
</file>