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F65" w:rsidRPr="00341F65" w:rsidRDefault="00341F65" w:rsidP="00341F65">
      <w:pPr>
        <w:pStyle w:val="a3"/>
        <w:rPr>
          <w:rFonts w:ascii="微软雅黑" w:eastAsia="微软雅黑" w:hAnsi="微软雅黑" w:cs="Calibri"/>
          <w:color w:val="000000"/>
          <w:sz w:val="21"/>
          <w:szCs w:val="21"/>
        </w:rPr>
      </w:pPr>
      <w:r w:rsidRPr="00341F65">
        <w:rPr>
          <w:rFonts w:ascii="微软雅黑" w:eastAsia="微软雅黑" w:hAnsi="微软雅黑" w:cs="Calibri" w:hint="eastAsia"/>
          <w:b/>
          <w:bCs/>
          <w:color w:val="000000"/>
          <w:sz w:val="21"/>
          <w:szCs w:val="21"/>
        </w:rPr>
        <w:t>一、项目背景</w:t>
      </w:r>
    </w:p>
    <w:p w:rsidR="00341F65" w:rsidRPr="00341F65" w:rsidRDefault="00341F65" w:rsidP="00341F65">
      <w:pPr>
        <w:pStyle w:val="a3"/>
        <w:rPr>
          <w:rFonts w:ascii="微软雅黑" w:eastAsia="微软雅黑" w:hAnsi="微软雅黑" w:cs="Calibri"/>
          <w:color w:val="000000"/>
          <w:sz w:val="21"/>
          <w:szCs w:val="21"/>
        </w:rPr>
      </w:pP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       </w:t>
      </w:r>
      <w:bookmarkStart w:id="0" w:name="OLE_LINK2"/>
      <w:r w:rsidR="00833E0E">
        <w:rPr>
          <w:rFonts w:ascii="微软雅黑" w:eastAsia="微软雅黑" w:hAnsi="微软雅黑" w:cs="Calibri" w:hint="eastAsia"/>
          <w:color w:val="000000"/>
          <w:sz w:val="21"/>
          <w:szCs w:val="21"/>
        </w:rPr>
        <w:t>为了能在“学习阶段”进行充分探索，促进客户持续投放，平台将为客户承担学习阶段</w:t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前期探索过程中的成本波动风险，对超成本较高的 </w:t>
      </w:r>
      <w:proofErr w:type="spell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oCPC</w:t>
      </w:r>
      <w:proofErr w:type="spell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 投放包进行赔付。</w:t>
      </w:r>
      <w:bookmarkEnd w:id="0"/>
    </w:p>
    <w:p w:rsidR="00341F65" w:rsidRPr="00341F65" w:rsidRDefault="00341F65" w:rsidP="00341F65">
      <w:pPr>
        <w:pStyle w:val="a3"/>
        <w:rPr>
          <w:rFonts w:ascii="微软雅黑" w:eastAsia="微软雅黑" w:hAnsi="微软雅黑" w:cs="Calibri"/>
          <w:color w:val="000000"/>
          <w:sz w:val="21"/>
          <w:szCs w:val="21"/>
        </w:rPr>
      </w:pPr>
      <w:r w:rsidRPr="00341F65">
        <w:rPr>
          <w:rFonts w:ascii="微软雅黑" w:eastAsia="微软雅黑" w:hAnsi="微软雅黑" w:cs="Calibri" w:hint="eastAsia"/>
          <w:b/>
          <w:bCs/>
          <w:color w:val="000000"/>
          <w:sz w:val="21"/>
          <w:szCs w:val="21"/>
        </w:rPr>
        <w:t>二、赔付计算范围</w:t>
      </w:r>
    </w:p>
    <w:p w:rsidR="00341F65" w:rsidRPr="00341F65" w:rsidRDefault="00341F65" w:rsidP="00341F65">
      <w:pPr>
        <w:numPr>
          <w:ilvl w:val="0"/>
          <w:numId w:val="1"/>
        </w:numPr>
        <w:rPr>
          <w:rFonts w:ascii="微软雅黑" w:eastAsia="微软雅黑" w:hAnsi="微软雅黑" w:cs="Calibri"/>
          <w:color w:val="000000"/>
          <w:sz w:val="21"/>
          <w:szCs w:val="21"/>
        </w:rPr>
      </w:pP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仅针对出价模式为“</w:t>
      </w:r>
      <w:r w:rsidR="00833E0E">
        <w:rPr>
          <w:rFonts w:ascii="微软雅黑" w:eastAsia="微软雅黑" w:hAnsi="微软雅黑" w:cs="Calibri" w:hint="eastAsia"/>
          <w:color w:val="000000"/>
          <w:sz w:val="21"/>
          <w:szCs w:val="21"/>
        </w:rPr>
        <w:t>稳定成本</w:t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”的 </w:t>
      </w:r>
      <w:proofErr w:type="spell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oCPC</w:t>
      </w:r>
      <w:proofErr w:type="spell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 投放包进行赔付，若采用“增强模式”，不在赔付计算范围内。</w:t>
      </w:r>
    </w:p>
    <w:p w:rsidR="00341F65" w:rsidRPr="00341F65" w:rsidRDefault="00341F65" w:rsidP="00341F65">
      <w:pPr>
        <w:numPr>
          <w:ilvl w:val="0"/>
          <w:numId w:val="1"/>
        </w:numPr>
        <w:rPr>
          <w:rFonts w:ascii="微软雅黑" w:eastAsia="微软雅黑" w:hAnsi="微软雅黑" w:cs="Calibri"/>
          <w:color w:val="000000"/>
          <w:sz w:val="21"/>
          <w:szCs w:val="21"/>
        </w:rPr>
      </w:pP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与 </w:t>
      </w:r>
      <w:proofErr w:type="spell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oCPC</w:t>
      </w:r>
      <w:proofErr w:type="spell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 投放包的生效范围一致，以 </w:t>
      </w:r>
      <w:proofErr w:type="spell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oCPC</w:t>
      </w:r>
      <w:proofErr w:type="spell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 投放包维度进行赔付。</w:t>
      </w:r>
    </w:p>
    <w:p w:rsidR="00341F65" w:rsidRPr="00341F65" w:rsidRDefault="00341F65" w:rsidP="00341F65">
      <w:pPr>
        <w:numPr>
          <w:ilvl w:val="0"/>
          <w:numId w:val="1"/>
        </w:numPr>
        <w:rPr>
          <w:rFonts w:ascii="微软雅黑" w:eastAsia="微软雅黑" w:hAnsi="微软雅黑" w:cs="Calibri"/>
          <w:color w:val="000000"/>
          <w:sz w:val="21"/>
          <w:szCs w:val="21"/>
        </w:rPr>
      </w:pPr>
      <w:proofErr w:type="spell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oCPC</w:t>
      </w:r>
      <w:proofErr w:type="spell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 投放</w:t>
      </w:r>
      <w:proofErr w:type="gram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包尚未</w:t>
      </w:r>
      <w:proofErr w:type="gram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进行过超成本赔付计算。</w:t>
      </w:r>
    </w:p>
    <w:p w:rsidR="00341F65" w:rsidRPr="00341F65" w:rsidRDefault="00341F65" w:rsidP="00341F65">
      <w:pPr>
        <w:pStyle w:val="a3"/>
        <w:rPr>
          <w:rFonts w:ascii="微软雅黑" w:eastAsia="微软雅黑" w:hAnsi="微软雅黑" w:cs="Calibri"/>
          <w:color w:val="000000"/>
          <w:sz w:val="21"/>
          <w:szCs w:val="21"/>
        </w:rPr>
      </w:pPr>
      <w:r w:rsidRPr="00341F65">
        <w:rPr>
          <w:rFonts w:ascii="微软雅黑" w:eastAsia="微软雅黑" w:hAnsi="微软雅黑" w:cs="Calibri" w:hint="eastAsia"/>
          <w:b/>
          <w:bCs/>
          <w:color w:val="000000"/>
          <w:sz w:val="21"/>
          <w:szCs w:val="21"/>
        </w:rPr>
        <w:t>三、赔付条件：（以下条件需同时满足）</w:t>
      </w:r>
    </w:p>
    <w:p w:rsidR="00833E0E" w:rsidRPr="00341F65" w:rsidRDefault="00341F65" w:rsidP="00341F65">
      <w:pPr>
        <w:pStyle w:val="a3"/>
        <w:rPr>
          <w:rFonts w:ascii="微软雅黑" w:eastAsia="微软雅黑" w:hAnsi="微软雅黑" w:cs="Calibri"/>
          <w:color w:val="000000"/>
          <w:sz w:val="21"/>
          <w:szCs w:val="21"/>
        </w:rPr>
      </w:pPr>
      <w:r w:rsidRPr="00341F65">
        <w:rPr>
          <w:rFonts w:ascii="微软雅黑" w:eastAsia="微软雅黑" w:hAnsi="微软雅黑" w:cs="Calibri"/>
          <w:b/>
          <w:bCs/>
          <w:color w:val="000000"/>
          <w:sz w:val="21"/>
          <w:szCs w:val="21"/>
        </w:rPr>
        <w:t xml:space="preserve">    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  <w:u w:val="single"/>
        </w:rPr>
        <w:t>1</w:t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  <w:u w:val="single"/>
        </w:rPr>
        <w:t>、超成本比例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</w:rPr>
        <w:br/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        转化成本超出目标转化成本的 20%（含）（例：目标成本 10 元，转化成本≥12 元）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</w:rPr>
        <w:br/>
        <w:t xml:space="preserve">   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  <w:u w:val="single"/>
        </w:rPr>
        <w:t> 2</w:t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  <w:u w:val="single"/>
        </w:rPr>
        <w:t>、赔付时间范围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</w:rPr>
        <w:br/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       1）</w:t>
      </w:r>
      <w:proofErr w:type="spell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oCPC</w:t>
      </w:r>
      <w:proofErr w:type="spell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 </w:t>
      </w:r>
      <w:r w:rsidR="00833E0E">
        <w:rPr>
          <w:rFonts w:ascii="微软雅黑" w:eastAsia="微软雅黑" w:hAnsi="微软雅黑" w:cs="Calibri" w:hint="eastAsia"/>
          <w:color w:val="000000"/>
          <w:sz w:val="21"/>
          <w:szCs w:val="21"/>
        </w:rPr>
        <w:t>投放</w:t>
      </w:r>
      <w:proofErr w:type="gramStart"/>
      <w:r w:rsidR="00833E0E">
        <w:rPr>
          <w:rFonts w:ascii="微软雅黑" w:eastAsia="微软雅黑" w:hAnsi="微软雅黑" w:cs="Calibri" w:hint="eastAsia"/>
          <w:color w:val="000000"/>
          <w:sz w:val="21"/>
          <w:szCs w:val="21"/>
        </w:rPr>
        <w:t>包进入</w:t>
      </w:r>
      <w:proofErr w:type="gramEnd"/>
      <w:r w:rsidR="00833E0E">
        <w:rPr>
          <w:rFonts w:ascii="微软雅黑" w:eastAsia="微软雅黑" w:hAnsi="微软雅黑" w:cs="Calibri" w:hint="eastAsia"/>
          <w:color w:val="000000"/>
          <w:sz w:val="21"/>
          <w:szCs w:val="21"/>
        </w:rPr>
        <w:t>学习阶段</w:t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当天及之后的 30 </w:t>
      </w:r>
      <w:proofErr w:type="gram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个</w:t>
      </w:r>
      <w:proofErr w:type="gram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自然日内 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</w:rPr>
        <w:br/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       2）仅赔付学习阶段 （例：10.1 进入学习期，且 10.1-10.20 均处于学习期阶段，赔付时间为 10.1-10.20） 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</w:rPr>
        <w:br/>
        <w:t>    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  <w:u w:val="single"/>
        </w:rPr>
        <w:t>3</w:t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  <w:u w:val="single"/>
        </w:rPr>
        <w:t xml:space="preserve">、操作要求每日对 </w:t>
      </w:r>
      <w:proofErr w:type="spell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  <w:u w:val="single"/>
        </w:rPr>
        <w:t>oCPC</w:t>
      </w:r>
      <w:proofErr w:type="spell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  <w:u w:val="single"/>
        </w:rPr>
        <w:t xml:space="preserve"> 投放包的修改操作需同时满足以下条件；若某一天操作不满足以下任</w:t>
      </w:r>
      <w:proofErr w:type="gram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  <w:u w:val="single"/>
        </w:rPr>
        <w:t>一</w:t>
      </w:r>
      <w:proofErr w:type="gram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  <w:u w:val="single"/>
        </w:rPr>
        <w:t>条件，当天及之后的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  <w:u w:val="single"/>
        </w:rPr>
        <w:t xml:space="preserve"> 2 </w:t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  <w:u w:val="single"/>
        </w:rPr>
        <w:t>天不予赔付。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</w:rPr>
        <w:br/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      1）目标转化成本修改次数≤1，且目标转化成本向下调整幅度不能超过前一次目标的20%；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</w:rPr>
        <w:br/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      2）</w:t>
      </w:r>
      <w:proofErr w:type="spell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oCPC</w:t>
      </w:r>
      <w:proofErr w:type="spell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 投放包启用或暂停操作的总次数≤1；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</w:rPr>
        <w:br/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      3）转化目标无修改操作；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</w:rPr>
        <w:br/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lastRenderedPageBreak/>
        <w:t>      4）出价模式无修改操作；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</w:rPr>
        <w:br/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      5）造成 </w:t>
      </w:r>
      <w:proofErr w:type="spell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oCPC</w:t>
      </w:r>
      <w:proofErr w:type="spell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 包生效范围变化的行为≤2 次。包括：① 增/</w:t>
      </w:r>
      <w:proofErr w:type="gram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删</w:t>
      </w:r>
      <w:proofErr w:type="gram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投放包所绑定的计划；② 投放包所绑定的计划出现正常投放/无效的状态变更。1 </w:t>
      </w:r>
      <w:proofErr w:type="gram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个</w:t>
      </w:r>
      <w:proofErr w:type="gram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计划变更表示 1 次。注：②包括通过修改计划、组、关键词、创意层级设置，造成计划在当日无法正常投放，或者在当日从无效变为正常投放。计划正常投放需同时满足：计划启用+投放日期（在计划投放日期内有 </w:t>
      </w:r>
      <w:proofErr w:type="spell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oCPC</w:t>
      </w:r>
      <w:proofErr w:type="spell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 投放）+投放时段（在计划投放时段内有 </w:t>
      </w:r>
      <w:proofErr w:type="spell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oCPC</w:t>
      </w:r>
      <w:proofErr w:type="spell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 投放）+计划下至少有一个启用的推广组+推广组至少有一个启用的关键词+推广组至少有一个启用的创意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</w:rPr>
        <w:br/>
        <w:t>    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  <w:u w:val="single"/>
        </w:rPr>
        <w:t>4</w:t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  <w:u w:val="single"/>
        </w:rPr>
        <w:t>、转化数量要求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</w:rPr>
        <w:br/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       </w:t>
      </w:r>
      <w:proofErr w:type="spell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oCPC</w:t>
      </w:r>
      <w:proofErr w:type="spell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 投放包自然周转化数量≥2 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</w:rPr>
        <w:br/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   </w:t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  <w:u w:val="single"/>
        </w:rPr>
        <w:t> 5、行业要求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</w:rPr>
        <w:br/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       账户</w:t>
      </w:r>
      <w:proofErr w:type="gram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一级行业</w:t>
      </w:r>
      <w:proofErr w:type="gram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为：机械设备、电子电工、化工及材料、</w:t>
      </w:r>
      <w:proofErr w:type="gram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安全安</w:t>
      </w:r>
      <w:proofErr w:type="gram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保、节能环保、农林牧渔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</w:rPr>
        <w:br/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    </w:t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  <w:u w:val="single"/>
        </w:rPr>
        <w:t> 6、转化目标要求</w:t>
      </w:r>
      <w:r w:rsidRPr="00341F65">
        <w:rPr>
          <w:rFonts w:ascii="微软雅黑" w:eastAsia="微软雅黑" w:hAnsi="微软雅黑" w:cs="Calibri"/>
          <w:color w:val="000000"/>
          <w:sz w:val="21"/>
          <w:szCs w:val="21"/>
        </w:rPr>
        <w:br/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        咨询工具类、电话类、表单类、线索组合</w:t>
      </w:r>
    </w:p>
    <w:p w:rsidR="00341F65" w:rsidRPr="00341F65" w:rsidRDefault="00341F65" w:rsidP="00341F65">
      <w:pPr>
        <w:pStyle w:val="a3"/>
        <w:rPr>
          <w:rFonts w:ascii="微软雅黑" w:eastAsia="微软雅黑" w:hAnsi="微软雅黑" w:cs="Calibri"/>
          <w:color w:val="000000"/>
          <w:sz w:val="21"/>
          <w:szCs w:val="21"/>
        </w:rPr>
      </w:pPr>
      <w:r w:rsidRPr="00341F65">
        <w:rPr>
          <w:rFonts w:ascii="微软雅黑" w:eastAsia="微软雅黑" w:hAnsi="微软雅黑" w:cs="Calibri" w:hint="eastAsia"/>
          <w:b/>
          <w:bCs/>
          <w:color w:val="000000"/>
          <w:sz w:val="21"/>
          <w:szCs w:val="21"/>
        </w:rPr>
        <w:t>四、赔付金额计算规则</w:t>
      </w:r>
    </w:p>
    <w:p w:rsidR="00341F65" w:rsidRPr="00341F65" w:rsidRDefault="00341F65" w:rsidP="00341F65">
      <w:pPr>
        <w:numPr>
          <w:ilvl w:val="0"/>
          <w:numId w:val="2"/>
        </w:numPr>
        <w:rPr>
          <w:rFonts w:ascii="微软雅黑" w:eastAsia="微软雅黑" w:hAnsi="微软雅黑" w:cs="Calibri"/>
          <w:color w:val="000000"/>
          <w:sz w:val="21"/>
          <w:szCs w:val="21"/>
        </w:rPr>
      </w:pP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  总预期消费 =[目标转化成本 1 * 对应转化数（计费时间）*1.2]+[目标转化成本 2 *对应转化数（计费时间）*1.2]+ ...[目标转化成本 n*对应转化数（计费时间）*1.2]；</w:t>
      </w:r>
    </w:p>
    <w:p w:rsidR="00341F65" w:rsidRPr="00341F65" w:rsidRDefault="00341F65" w:rsidP="00341F65">
      <w:pPr>
        <w:numPr>
          <w:ilvl w:val="0"/>
          <w:numId w:val="2"/>
        </w:numPr>
        <w:rPr>
          <w:rFonts w:ascii="微软雅黑" w:eastAsia="微软雅黑" w:hAnsi="微软雅黑" w:cs="Calibri"/>
          <w:color w:val="000000"/>
          <w:sz w:val="21"/>
          <w:szCs w:val="21"/>
        </w:rPr>
      </w:pP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  赔付金额 = （</w:t>
      </w:r>
      <w:proofErr w:type="gram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总实际</w:t>
      </w:r>
      <w:proofErr w:type="gram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消费 – 总预期消费）</w:t>
      </w:r>
    </w:p>
    <w:p w:rsidR="00341F65" w:rsidRPr="00341F65" w:rsidRDefault="00341F65" w:rsidP="00341F65">
      <w:pPr>
        <w:pStyle w:val="a3"/>
        <w:ind w:firstLine="420"/>
        <w:rPr>
          <w:rFonts w:ascii="微软雅黑" w:eastAsia="微软雅黑" w:hAnsi="微软雅黑" w:cs="Calibri"/>
          <w:color w:val="000000"/>
          <w:sz w:val="21"/>
          <w:szCs w:val="21"/>
        </w:rPr>
      </w:pP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注：当日若多次调整目标转化成本，以最大目标转化成本计算</w:t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br/>
      </w:r>
      <w:r w:rsidRPr="00341F65">
        <w:rPr>
          <w:rFonts w:ascii="微软雅黑" w:eastAsia="微软雅黑" w:hAnsi="微软雅黑" w:cs="Calibri" w:hint="eastAsia"/>
          <w:b/>
          <w:bCs/>
          <w:color w:val="000000"/>
          <w:sz w:val="21"/>
          <w:szCs w:val="21"/>
        </w:rPr>
        <w:t>五、核算赔付时间</w:t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br/>
        <w:t> </w:t>
      </w:r>
      <w:r w:rsidRPr="00341F65">
        <w:rPr>
          <w:rFonts w:ascii="微软雅黑" w:eastAsia="微软雅黑" w:hAnsi="微软雅黑" w:cs="Calibri" w:hint="eastAsia"/>
          <w:color w:val="1F497D"/>
          <w:sz w:val="21"/>
          <w:szCs w:val="21"/>
        </w:rPr>
        <w:t xml:space="preserve">    </w:t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 </w:t>
      </w:r>
      <w:proofErr w:type="spellStart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oCPC</w:t>
      </w:r>
      <w:proofErr w:type="spellEnd"/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 投放后第 15 天进行赔付数据计算，例：10 月 1 日的赔付数据需要在 10 月 </w:t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lastRenderedPageBreak/>
        <w:t>15 日进行计算。</w:t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br/>
      </w:r>
      <w:r w:rsidRPr="00341F65">
        <w:rPr>
          <w:rFonts w:ascii="微软雅黑" w:eastAsia="微软雅黑" w:hAnsi="微软雅黑" w:cs="Calibri" w:hint="eastAsia"/>
          <w:b/>
          <w:bCs/>
          <w:color w:val="000000"/>
          <w:sz w:val="21"/>
          <w:szCs w:val="21"/>
        </w:rPr>
        <w:t>六、赔付方式及执行时间</w:t>
      </w:r>
    </w:p>
    <w:p w:rsidR="00341F65" w:rsidRPr="00341F65" w:rsidRDefault="00341F65" w:rsidP="00341F65">
      <w:pPr>
        <w:numPr>
          <w:ilvl w:val="0"/>
          <w:numId w:val="3"/>
        </w:numPr>
        <w:rPr>
          <w:rFonts w:ascii="微软雅黑" w:eastAsia="微软雅黑" w:hAnsi="微软雅黑" w:cs="Calibri"/>
          <w:color w:val="000000"/>
          <w:sz w:val="21"/>
          <w:szCs w:val="21"/>
        </w:rPr>
      </w:pPr>
      <w:r w:rsidRPr="00341F65">
        <w:rPr>
          <w:rFonts w:ascii="微软雅黑" w:eastAsia="微软雅黑" w:hAnsi="微软雅黑" w:cs="Calibri" w:hint="eastAsia"/>
          <w:b/>
          <w:bCs/>
          <w:color w:val="000000"/>
          <w:sz w:val="21"/>
          <w:szCs w:val="21"/>
        </w:rPr>
        <w:t xml:space="preserve">  </w:t>
      </w:r>
      <w:r w:rsidRPr="00341F65">
        <w:rPr>
          <w:rFonts w:ascii="微软雅黑" w:eastAsia="微软雅黑" w:hAnsi="微软雅黑" w:cs="Calibri" w:hint="eastAsia"/>
          <w:color w:val="000000"/>
          <w:sz w:val="21"/>
          <w:szCs w:val="21"/>
        </w:rPr>
        <w:t>线下赔付：运营按照产品提供的赔付名单及金额进行核对后，下发赔付明细，销售端走消费调整赔款流程。</w:t>
      </w:r>
    </w:p>
    <w:p w:rsidR="00833E0E" w:rsidRPr="00341F65" w:rsidRDefault="00833E0E" w:rsidP="00341F65">
      <w:pPr>
        <w:pStyle w:val="a3"/>
        <w:rPr>
          <w:rFonts w:ascii="微软雅黑" w:eastAsia="微软雅黑" w:hAnsi="微软雅黑" w:cs="Calibri"/>
          <w:color w:val="000000"/>
          <w:sz w:val="21"/>
          <w:szCs w:val="21"/>
        </w:rPr>
      </w:pPr>
      <w:bookmarkStart w:id="1" w:name="_GoBack"/>
      <w:bookmarkEnd w:id="1"/>
      <w:r>
        <w:rPr>
          <w:rFonts w:ascii="微软雅黑" w:eastAsia="微软雅黑" w:hAnsi="微软雅黑" w:cs="Calibri" w:hint="eastAsia"/>
          <w:color w:val="000000"/>
          <w:sz w:val="21"/>
          <w:szCs w:val="21"/>
        </w:rPr>
        <w:t xml:space="preserve"> </w:t>
      </w:r>
      <w:r>
        <w:rPr>
          <w:rFonts w:ascii="微软雅黑" w:eastAsia="微软雅黑" w:hAnsi="微软雅黑" w:cs="Calibri"/>
          <w:color w:val="000000"/>
          <w:sz w:val="21"/>
          <w:szCs w:val="21"/>
        </w:rPr>
        <w:t xml:space="preserve"> </w:t>
      </w:r>
      <w:bookmarkStart w:id="2" w:name="OLE_LINK3"/>
      <w:r>
        <w:rPr>
          <w:rFonts w:ascii="微软雅黑" w:eastAsia="微软雅黑" w:hAnsi="微软雅黑" w:cs="Calibri" w:hint="eastAsia"/>
          <w:color w:val="000000"/>
          <w:sz w:val="21"/>
          <w:szCs w:val="21"/>
        </w:rPr>
        <w:t>政策支持版本：仅限于搜索</w:t>
      </w:r>
      <w:proofErr w:type="spellStart"/>
      <w:r>
        <w:rPr>
          <w:rFonts w:ascii="微软雅黑" w:eastAsia="微软雅黑" w:hAnsi="微软雅黑" w:cs="Calibri" w:hint="eastAsia"/>
          <w:color w:val="000000"/>
          <w:sz w:val="21"/>
          <w:szCs w:val="21"/>
        </w:rPr>
        <w:t>o</w:t>
      </w:r>
      <w:r>
        <w:rPr>
          <w:rFonts w:ascii="微软雅黑" w:eastAsia="微软雅黑" w:hAnsi="微软雅黑" w:cs="Calibri"/>
          <w:color w:val="000000"/>
          <w:sz w:val="21"/>
          <w:szCs w:val="21"/>
        </w:rPr>
        <w:t>CPC</w:t>
      </w:r>
      <w:proofErr w:type="spellEnd"/>
      <w:r>
        <w:rPr>
          <w:rFonts w:ascii="微软雅黑" w:eastAsia="微软雅黑" w:hAnsi="微软雅黑" w:cs="Calibri"/>
          <w:color w:val="000000"/>
          <w:sz w:val="21"/>
          <w:szCs w:val="21"/>
        </w:rPr>
        <w:t xml:space="preserve"> 2.0</w:t>
      </w:r>
      <w:r>
        <w:rPr>
          <w:rFonts w:ascii="微软雅黑" w:eastAsia="微软雅黑" w:hAnsi="微软雅黑" w:cs="Calibri" w:hint="eastAsia"/>
          <w:color w:val="000000"/>
          <w:sz w:val="21"/>
          <w:szCs w:val="21"/>
        </w:rPr>
        <w:t>版本</w:t>
      </w:r>
      <w:bookmarkEnd w:id="2"/>
    </w:p>
    <w:sectPr w:rsidR="00833E0E" w:rsidRPr="00341F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754C2"/>
    <w:multiLevelType w:val="multilevel"/>
    <w:tmpl w:val="C1A43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FF2857"/>
    <w:multiLevelType w:val="multilevel"/>
    <w:tmpl w:val="AEFA3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9405DB"/>
    <w:multiLevelType w:val="multilevel"/>
    <w:tmpl w:val="BA50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F2A"/>
    <w:rsid w:val="00341F65"/>
    <w:rsid w:val="00561610"/>
    <w:rsid w:val="007E24D8"/>
    <w:rsid w:val="00833E0E"/>
    <w:rsid w:val="009B2F2A"/>
    <w:rsid w:val="00FE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1786E"/>
  <w15:chartTrackingRefBased/>
  <w15:docId w15:val="{7A183219-475A-4A3B-8205-F2005785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1F65"/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41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79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</Words>
  <Characters>1116</Characters>
  <Application>Microsoft Office Word</Application>
  <DocSecurity>0</DocSecurity>
  <Lines>9</Lines>
  <Paragraphs>2</Paragraphs>
  <ScaleCrop>false</ScaleCrop>
  <Company>Qihoo360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高宏翠</dc:creator>
  <cp:keywords/>
  <dc:description/>
  <cp:lastModifiedBy>高宏翠</cp:lastModifiedBy>
  <cp:revision>2</cp:revision>
  <dcterms:created xsi:type="dcterms:W3CDTF">2026-02-06T08:03:00Z</dcterms:created>
  <dcterms:modified xsi:type="dcterms:W3CDTF">2026-02-06T08:03:00Z</dcterms:modified>
</cp:coreProperties>
</file>