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spacing w:before="60" w:after="6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团队周报（</w:t>
      </w:r>
      <w:r>
        <w:rPr>
          <w:rFonts w:hint="eastAsia" w:ascii="仿宋_GB2312" w:hAnsi="仿宋_GB2312" w:eastAsia="仿宋_GB2312" w:cs="仿宋_GB2312"/>
          <w:color w:val="333333"/>
          <w:sz w:val="22"/>
          <w:shd w:val="clear" w:color="auto" w:fill="FFFFFF"/>
        </w:rPr>
        <w:t>3</w:t>
      </w:r>
      <w:r>
        <w:rPr>
          <w:rFonts w:ascii="仿宋_GB2312" w:hAnsi="仿宋_GB2312" w:eastAsia="仿宋_GB2312" w:cs="仿宋_GB2312"/>
          <w:color w:val="333333"/>
          <w:sz w:val="22"/>
          <w:shd w:val="clear" w:color="auto" w:fill="FFFFFF"/>
        </w:rPr>
        <w:t>月</w:t>
      </w:r>
      <w:r>
        <w:rPr>
          <w:rFonts w:hint="eastAsia" w:ascii="仿宋_GB2312" w:hAnsi="仿宋_GB2312" w:eastAsia="仿宋_GB2312" w:cs="仿宋_GB2312"/>
          <w:color w:val="333333"/>
          <w:sz w:val="22"/>
          <w:shd w:val="clear" w:color="auto" w:fill="FFFFFF"/>
        </w:rPr>
        <w:t>23</w:t>
      </w:r>
      <w:r>
        <w:rPr>
          <w:rFonts w:ascii="仿宋_GB2312" w:hAnsi="仿宋_GB2312" w:eastAsia="仿宋_GB2312" w:cs="仿宋_GB2312"/>
          <w:color w:val="333333"/>
          <w:sz w:val="22"/>
          <w:shd w:val="clear" w:color="auto" w:fill="FFFFFF"/>
        </w:rPr>
        <w:t>日至</w:t>
      </w:r>
      <w:r>
        <w:rPr>
          <w:rFonts w:hint="eastAsia" w:ascii="仿宋_GB2312" w:hAnsi="仿宋_GB2312" w:eastAsia="仿宋_GB2312" w:cs="仿宋_GB2312"/>
          <w:color w:val="333333"/>
          <w:sz w:val="22"/>
          <w:shd w:val="clear" w:color="auto" w:fill="FFFFFF"/>
        </w:rPr>
        <w:t>3</w:t>
      </w:r>
      <w:r>
        <w:rPr>
          <w:rFonts w:ascii="仿宋_GB2312" w:hAnsi="仿宋_GB2312" w:eastAsia="仿宋_GB2312" w:cs="仿宋_GB2312"/>
          <w:color w:val="333333"/>
          <w:sz w:val="22"/>
          <w:shd w:val="clear" w:color="auto" w:fill="FFFFFF"/>
        </w:rPr>
        <w:t>月</w:t>
      </w:r>
      <w:r>
        <w:rPr>
          <w:rFonts w:hint="eastAsia" w:ascii="仿宋_GB2312" w:hAnsi="仿宋_GB2312" w:eastAsia="仿宋_GB2312" w:cs="仿宋_GB2312"/>
          <w:color w:val="333333"/>
          <w:sz w:val="22"/>
          <w:shd w:val="clear" w:color="auto" w:fill="FFFFFF"/>
        </w:rPr>
        <w:t>27</w:t>
      </w:r>
      <w:r>
        <w:rPr>
          <w:rFonts w:ascii="仿宋_GB2312" w:hAnsi="仿宋_GB2312" w:eastAsia="仿宋_GB2312" w:cs="仿宋_GB2312"/>
          <w:color w:val="333333"/>
          <w:sz w:val="22"/>
          <w:shd w:val="clear" w:color="auto" w:fill="FFFFFF"/>
        </w:rPr>
        <w:t>日）</w:t>
      </w:r>
    </w:p>
    <w:p>
      <w:pPr>
        <w:pBdr/>
        <w:spacing w:before="80" w:after="80" w:line="460" w:lineRule="exact"/>
        <w:ind/>
        <w:jc w:val="both"/>
        <w:rPr>
          <w:rFonts w:ascii="仿宋_GB2312" w:hAnsi="仿宋_GB2312" w:eastAsia="仿宋_GB2312" w:cs="仿宋_GB2312"/>
          <w:sz w:val="22"/>
        </w:rPr>
      </w:pPr>
    </w:p>
    <w:p>
      <w:pPr>
        <w:pBdr>
          <w:bottom/>
        </w:pBdr>
        <w:spacing w:before="80" w:after="80" w:line="460" w:lineRule="exact"/>
        <w:ind/>
        <w:jc w:val="both"/>
        <w:rPr>
          <w:rFonts w:hint="eastAsia" w:ascii="仿宋_GB2312" w:hAnsi="仿宋_GB2312" w:eastAsia="仿宋_GB2312" w:cs="仿宋_GB2312"/>
          <w:b/>
          <w:sz w:val="22"/>
        </w:rPr>
      </w:pPr>
      <w:r>
        <w:rPr>
          <w:rFonts w:hint="eastAsia" w:ascii="仿宋_GB2312" w:hAnsi="仿宋_GB2312" w:eastAsia="仿宋_GB2312" w:cs="仿宋_GB2312"/>
          <w:b/>
          <w:sz w:val="22"/>
        </w:rPr>
        <w:t>周</w:t>
      </w:r>
      <w:r>
        <w:rPr>
          <w:rFonts w:hint="eastAsia" w:ascii="仿宋_GB2312" w:hAnsi="仿宋_GB2312" w:eastAsia="仿宋_GB2312" w:cs="仿宋_GB2312"/>
          <w:b/>
          <w:sz w:val="22"/>
        </w:rPr>
        <w:t>报</w:t>
      </w:r>
      <w:r>
        <w:rPr>
          <w:rFonts w:hint="eastAsia" w:ascii="仿宋_GB2312" w:hAnsi="仿宋_GB2312" w:eastAsia="仿宋_GB2312" w:cs="仿宋_GB2312"/>
          <w:b/>
          <w:sz w:val="22"/>
        </w:rPr>
        <w:t>，</w:t>
      </w:r>
      <w:r>
        <w:rPr>
          <w:rFonts w:hint="eastAsia" w:ascii="仿宋_GB2312" w:hAnsi="仿宋_GB2312" w:eastAsia="仿宋_GB2312" w:cs="仿宋_GB2312"/>
          <w:b/>
          <w:sz w:val="22"/>
        </w:rPr>
        <w:t>拟报老板部分：</w:t>
      </w:r>
    </w:p>
    <w:p>
      <w:pPr>
        <w:numPr/>
        <w:snapToGrid/>
        <w:spacing w:before="0" w:after="0" w:line="460" w:lineRule="exact"/>
        <w:ind w:left="0" w:right="0"/>
        <w:jc w:val="both"/>
        <w:rPr>
          <w:rFonts w:ascii="仿宋_GB2312" w:hAnsi="仿宋_GB2312" w:eastAsia="仿宋_GB2312" w:cs="仿宋_GB2312"/>
          <w:color w:val="FF0000"/>
        </w:rPr>
      </w:pPr>
      <w:r>
        <w:rPr>
          <w:rFonts w:hint="eastAsia" w:ascii="仿宋_GB2312" w:hAnsi="仿宋_GB2312" w:eastAsia="仿宋_GB2312" w:cs="仿宋_GB2312"/>
          <w:b/>
          <w:i w:val="false"/>
          <w:strike w:val="false"/>
          <w:color w:val="FF0000"/>
          <w:sz w:val="22"/>
          <w:u w:val="none"/>
        </w:rPr>
        <w:t>1</w:t>
      </w:r>
      <w:r>
        <w:rPr>
          <w:rFonts w:hint="eastAsia" w:ascii="仿宋_GB2312" w:hAnsi="仿宋_GB2312" w:eastAsia="仿宋_GB2312" w:cs="仿宋_GB2312"/>
          <w:b/>
          <w:i w:val="false"/>
          <w:strike w:val="false"/>
          <w:color w:val="FF0000"/>
          <w:sz w:val="22"/>
          <w:u w:val="none"/>
        </w:rPr>
        <w:t>.</w:t>
      </w:r>
      <w:r>
        <w:rPr>
          <w:rFonts w:ascii="仿宋_GB2312" w:hAnsi="仿宋_GB2312" w:eastAsia="仿宋_GB2312" w:cs="仿宋_GB2312"/>
          <w:b/>
          <w:i w:val="false"/>
          <w:strike w:val="false"/>
          <w:color w:val="FF0000"/>
          <w:sz w:val="22"/>
          <w:u w:val="none"/>
        </w:rPr>
        <w:t>网信办组织召开智能体服务管理研讨会</w:t>
      </w:r>
    </w:p>
    <w:p>
      <w:pPr>
        <w:numPr/>
        <w:pBdr/>
        <w:snapToGrid/>
        <w:spacing w:before="0" w:after="0" w:line="460" w:lineRule="exact"/>
        <w:ind/>
        <w:jc w:val="both"/>
        <w:rPr>
          <w:rFonts w:ascii="仿宋_GB2312" w:hAnsi="仿宋_GB2312" w:eastAsia="仿宋_GB2312" w:cs="仿宋_GB2312"/>
          <w:i w:val="false"/>
          <w:strike w:val="false"/>
          <w:color w:val="000000"/>
          <w:sz w:val="22"/>
          <w:u w:val="none"/>
        </w:rPr>
      </w:pPr>
      <w:r>
        <w:rPr>
          <w:rFonts w:ascii="仿宋_GB2312" w:hAnsi="仿宋_GB2312" w:eastAsia="仿宋_GB2312" w:cs="仿宋_GB2312"/>
          <w:i w:val="false"/>
          <w:strike w:val="false"/>
          <w:color w:val="000000"/>
          <w:sz w:val="22"/>
          <w:u w:val="none"/>
        </w:rPr>
        <w:t>24日，网信办组织腾讯、阿里、抖音、百度、小米等七家企业开会。围绕智能体身份认证与标识、权限分级管理、上架与分发平台责任、数据授权穿透、社交平台治理等议题展开讨论。我司与阿里、小米、小红书等在包容审慎立法、分发平台承担基本安全责任等方面形成共识，抖音、百度等推荐使用GUI和API混合的方案，网信办后续会加速推进智能体相关法规制定。团队协同研究院、舆情、CSIGPA、WXGPA等部门完善观点和论证材料，同时关注网信办后续动态。</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应对微信龙虾监管沟通</w:t>
      </w:r>
    </w:p>
    <w:p>
      <w:pPr>
        <w:numPr/>
        <w:pBdr>
          <w:bottom/>
        </w:pBdr>
        <w:snapToGrid/>
        <w:spacing w:before="0" w:after="0" w:line="460" w:lineRule="exact"/>
        <w:ind/>
        <w:jc w:val="both"/>
        <w:rPr>
          <w:rFonts w:hint="eastAsia" w:ascii="仿宋_GB2312" w:hAnsi="仿宋_GB2312" w:eastAsia="仿宋_GB2312" w:cs="仿宋_GB2312"/>
          <w:b/>
          <w:sz w:val="22"/>
        </w:rPr>
      </w:pPr>
      <w:r>
        <w:rPr>
          <w:rFonts w:ascii="仿宋_GB2312" w:hAnsi="仿宋_GB2312" w:eastAsia="仿宋_GB2312" w:cs="仿宋_GB2312"/>
          <w:b w:val="false"/>
          <w:i w:val="false"/>
          <w:strike w:val="false"/>
          <w:spacing w:val="0"/>
          <w:sz w:val="22"/>
          <w:u w:val="none"/>
        </w:rPr>
        <w:t>3月22-23日，微信ClawBot及搜索评论功能引发中央网信办专班双重问询。文内主动沟通回应，澄清功能属性并准备书面材料备询。针对专班关注的涉1号漏出风险及新功能报送要求，及时联动WXGPA、运平部署搜索口及ClawBot策略防控升级，稳妥处理产品上线需求与监管合规要求</w:t>
      </w:r>
      <w:r>
        <w:rPr>
          <w:rFonts w:ascii="仿宋_GB2312" w:hAnsi="仿宋_GB2312" w:eastAsia="仿宋_GB2312" w:cs="仿宋_GB2312"/>
          <w:b/>
          <w:i w:val="false"/>
          <w:strike w:val="false"/>
          <w:spacing w:val="0"/>
          <w:u w:val="none"/>
        </w:rPr>
        <w:t>。</w:t>
      </w:r>
    </w:p>
    <w:p>
      <w:pPr>
        <w:numPr/>
        <w:pBdr/>
        <w:snapToGrid/>
        <w:spacing w:line="460" w:lineRule="exact"/>
        <w:ind w:left="0"/>
        <w:jc w:val="both"/>
        <w:rPr>
          <w:rFonts w:ascii="仿宋_GB2312" w:hAnsi="仿宋_GB2312" w:eastAsia="仿宋_GB2312" w:cs="仿宋_GB2312"/>
          <w:b/>
          <w:i w:val="false"/>
          <w:strike w:val="false"/>
          <w:color w:val="FF0000"/>
          <w:spacing w:val="0"/>
          <w:sz w:val="22"/>
          <w:u w:val="none"/>
        </w:rPr>
      </w:pPr>
      <w:r>
        <w:rPr>
          <w:rFonts w:hint="eastAsia" w:ascii="仿宋_GB2312" w:hAnsi="仿宋_GB2312" w:eastAsia="仿宋_GB2312" w:cs="仿宋_GB2312"/>
          <w:b/>
          <w:i w:val="false"/>
          <w:strike w:val="false"/>
          <w:color w:val="FF0000"/>
          <w:spacing w:val="0"/>
          <w:sz w:val="22"/>
          <w:u w:val="none"/>
        </w:rPr>
        <w:t>2</w:t>
      </w:r>
      <w:r>
        <w:rPr>
          <w:rFonts w:hint="eastAsia" w:ascii="仿宋_GB2312" w:hAnsi="仿宋_GB2312" w:eastAsia="仿宋_GB2312" w:cs="仿宋_GB2312"/>
          <w:b/>
          <w:i w:val="false"/>
          <w:strike w:val="false"/>
          <w:color w:val="FF0000"/>
          <w:spacing w:val="0"/>
          <w:sz w:val="22"/>
          <w:u w:val="none"/>
        </w:rPr>
        <w:t>.</w:t>
      </w:r>
      <w:r>
        <w:rPr>
          <w:rFonts w:ascii="仿宋_GB2312" w:hAnsi="仿宋_GB2312" w:eastAsia="仿宋_GB2312" w:cs="仿宋_GB2312"/>
          <w:b/>
          <w:i w:val="false"/>
          <w:strike w:val="false"/>
          <w:color w:val="FF0000"/>
          <w:spacing w:val="0"/>
          <w:sz w:val="22"/>
          <w:u w:val="none"/>
        </w:rPr>
        <w:t>ZXB集中关注AI发展及其对宣传工作的影响</w:t>
      </w:r>
    </w:p>
    <w:p>
      <w:pPr>
        <w:pBdr/>
        <w:spacing w:before="80" w:after="80" w:line="460" w:lineRule="exact"/>
        <w:ind/>
        <w:jc w:val="both"/>
        <w:rPr>
          <w:rFonts w:ascii="仿宋_GB2312" w:hAnsi="仿宋_GB2312" w:eastAsia="仿宋_GB2312" w:cs="仿宋_GB2312"/>
          <w:sz w:val="22"/>
        </w:rPr>
      </w:pPr>
      <w:r>
        <w:rPr>
          <w:rFonts w:ascii="仿宋_GB2312" w:hAnsi="仿宋_GB2312" w:eastAsia="仿宋_GB2312" w:cs="仿宋_GB2312"/>
          <w:b w:val="false"/>
          <w:i w:val="false"/>
          <w:strike w:val="false"/>
          <w:spacing w:val="0"/>
          <w:sz w:val="22"/>
          <w:u w:val="none"/>
        </w:rPr>
        <w:t>近期，ZXB多个司局围绕AI智能体应用现状及其对舆论宣传工作的影响接连约稿，包括AI对文艺创作的影响、AI智能体对国际传播的应用前景、AI智能体应用中存在的安全风险以及如何利用AI扩大主流舆论影响、防范意识意识形态风险等议题。舆情协同PA团队，通过辨析智能体类型、传递公司自研产品和相关安全措施，引导甲方理性看待AI发展，并积极传递AI助力数字文化出海、Token出海成为国际传播新范式等观点。</w:t>
      </w:r>
    </w:p>
    <w:p>
      <w:pPr>
        <w:spacing w:before="80" w:after="80" w:line="460" w:lineRule="exact"/>
        <w:jc w:val="both"/>
        <w:rPr>
          <w:rFonts w:ascii="仿宋_GB2312" w:hAnsi="仿宋_GB2312" w:eastAsia="仿宋_GB2312" w:cs="仿宋_GB2312"/>
          <w:sz w:val="22"/>
        </w:rPr>
      </w:pP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一、重要接待拜访/会议活动</w:t>
      </w:r>
    </w:p>
    <w:p>
      <w:pPr>
        <w:pBdr>
          <w:bottom/>
        </w:pBdr>
        <w:spacing w:before="80" w:after="80"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（一）2026网络媒体论坛综治分论坛筹备进展</w:t>
      </w:r>
    </w:p>
    <w:p>
      <w:pPr>
        <w:pBdr>
          <w:bottom/>
        </w:pBdr>
        <w:spacing w:before="80" w:after="80"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本周日下午召开综治局分论坛“善用善治·ai内容规范发展”，团队已于本周陆续至郑州，前后支持相关工作。目前已完成成果发布环节物料确认、演讲者行程、现场流程、颁奖及演讲顺序等工作，周六会进行2次彩排，后续继续做好大会保障工作。</w:t>
      </w:r>
    </w:p>
    <w:p>
      <w:pPr>
        <w:numPr/>
        <w:pBdr/>
        <w:spacing w:before="80" w:after="80"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（二）</w:t>
      </w:r>
      <w:r>
        <w:rPr>
          <w:rFonts w:ascii="仿宋_GB2312" w:hAnsi="仿宋_GB2312" w:eastAsia="仿宋_GB2312" w:cs="仿宋_GB2312"/>
          <w:b/>
          <w:i w:val="false"/>
          <w:strike w:val="false"/>
          <w:spacing w:val="0"/>
          <w:sz w:val="22"/>
          <w:u w:val="none"/>
        </w:rPr>
        <w:t>拜访中宣部出版局沟通信息及后续合作</w:t>
      </w:r>
    </w:p>
    <w:p>
      <w:pPr>
        <w:numPr/>
        <w:pBdr>
          <w:bottom/>
        </w:pBdr>
        <w:spacing w:before="80" w:after="80"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26日，IEG PA月度拜访中宣部出版局副局长陈兰，系统汇报了腾讯游戏近期运营情况、重点产品表现及行业趋势观察，及当前AI技术在游戏领域全链条中的探索与实践，并邀请甲方到企鹅岛新址参观调研。局领导高度关注AI相关动态，希望PA针对AI技术创新和行业应用提供日常报送。IEG PA将系统做好相关工作的支持。</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二、监管动向/风险预警</w:t>
      </w:r>
    </w:p>
    <w:p>
      <w:pPr>
        <w:numPr/>
        <w:snapToGrid/>
        <w:spacing w:before="0" w:after="0" w:line="460" w:lineRule="exact"/>
        <w:ind w:left="0" w:right="0"/>
        <w:jc w:val="both"/>
        <w:rPr>
          <w:rFonts w:ascii="仿宋_GB2312" w:hAnsi="仿宋_GB2312" w:eastAsia="仿宋_GB2312" w:cs="仿宋_GB2312"/>
          <w:color w:val="FF0000"/>
        </w:rPr>
      </w:pPr>
      <w:r>
        <w:rPr>
          <w:rFonts w:hint="eastAsia" w:ascii="仿宋_GB2312" w:hAnsi="仿宋_GB2312" w:eastAsia="仿宋_GB2312" w:cs="仿宋_GB2312"/>
          <w:b/>
          <w:sz w:val="22"/>
        </w:rPr>
        <w:t>（一）</w:t>
      </w:r>
      <w:r>
        <w:rPr>
          <w:rFonts w:ascii="仿宋_GB2312" w:hAnsi="仿宋_GB2312" w:eastAsia="仿宋_GB2312" w:cs="仿宋_GB2312"/>
          <w:b/>
          <w:i w:val="false"/>
          <w:strike w:val="false"/>
          <w:color w:val="FF0000"/>
          <w:sz w:val="22"/>
          <w:u w:val="none"/>
        </w:rPr>
        <w:t>网信办组织召开智能体服务管理研讨会</w:t>
      </w:r>
    </w:p>
    <w:p>
      <w:pPr>
        <w:snapToGrid/>
        <w:spacing w:before="0" w:after="0" w:line="460" w:lineRule="exact"/>
        <w:ind/>
        <w:jc w:val="both"/>
        <w:rPr>
          <w:rFonts w:hint="eastAsia" w:ascii="仿宋_GB2312" w:hAnsi="仿宋_GB2312" w:eastAsia="仿宋_GB2312" w:cs="仿宋_GB2312"/>
          <w:b/>
          <w:sz w:val="22"/>
        </w:rPr>
      </w:pPr>
      <w:r>
        <w:rPr>
          <w:rFonts w:ascii="仿宋_GB2312" w:hAnsi="仿宋_GB2312" w:eastAsia="仿宋_GB2312" w:cs="仿宋_GB2312"/>
          <w:i w:val="false"/>
          <w:strike w:val="false"/>
          <w:color w:val="000000"/>
          <w:sz w:val="22"/>
          <w:u w:val="none"/>
        </w:rPr>
        <w:t>24日，网信办组织腾讯、阿里、抖音、百度、小米等七家企业开会。围绕智能体身份认证与标识、权限分级管理、上架与分发平台责任、数据授权穿透、社交平台治理等议题展开讨论。我司与阿里、小米、小红书等在包容审慎立法、分发平台承担基本安全责任等方面形成共识，抖音、百度等推荐使用GUI和API混合的方案，网信办后续会加速推进智能体相关法规制定。团队协同研究院、舆情、CSIGPA、WXGPA等部门完善观点和论证材料，同时关注网信办后续动态。</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（二）</w:t>
      </w:r>
      <w:r>
        <w:rPr>
          <w:rFonts w:ascii="仿宋_GB2312" w:hAnsi="仿宋_GB2312" w:eastAsia="仿宋_GB2312" w:cs="仿宋_GB2312"/>
          <w:b/>
          <w:i w:val="false"/>
          <w:strike w:val="false"/>
          <w:color w:val="000000"/>
          <w:sz w:val="22"/>
          <w:u w:val="none"/>
        </w:rPr>
        <w:t>电子四院组织召开标识工作阶段性情况座谈会</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团队围绕制作平台在运行中陆续发现的协作链问题做了发言，重点再次汇总反映了上游生成平台打标标准不一致，制作平台对疑似AIGC鉴伪能力，面临生成模型迭代快速的挑战等问题，旨在通过下一阶段实践指南工作缓解视频号识别压力。下一步四院将汇总报告技术局，进一步明确后续治理目标。另外关于XMP改造的时间表会上暂时没有提及，将继续跟进。</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（三）</w:t>
      </w:r>
      <w:r>
        <w:rPr>
          <w:rFonts w:ascii="仿宋_GB2312" w:hAnsi="仿宋_GB2312" w:eastAsia="仿宋_GB2312" w:cs="仿宋_GB2312"/>
          <w:b/>
          <w:i w:val="false"/>
          <w:strike w:val="false"/>
          <w:color w:val="000000"/>
          <w:sz w:val="22"/>
          <w:u w:val="none"/>
        </w:rPr>
        <w:t>广电总局从垂直领域关注大模型合规情况</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广电总局组织召开广电视听人工智能应用与治理标准体系研讨会，抖音、阿里云、芒果、华为等参会。重点讨论《广播电视和网络视听人工智能生成内容标识技术规范》和《视听节目训练数据集元数据格式规范》两项行业标准。标准要求使用Ai制作节目片段需要额外增加隐式元数据以及数字水印要求。会上公司、阿里以及抖音等友商都提出了建议，希望明确具体落地场景，避免给企业增加额外负担。甲方表示后续会同步制定配套的指南文件，进一步明确落地场景。</w:t>
      </w:r>
    </w:p>
    <w:p>
      <w:pPr>
        <w:numPr/>
        <w:snapToGrid/>
        <w:spacing w:before="0" w:after="0" w:line="460" w:lineRule="exact"/>
        <w:ind w:left="0" w:right="0"/>
        <w:jc w:val="both"/>
        <w:rPr>
          <w:rFonts w:ascii="仿宋_GB2312" w:hAnsi="仿宋_GB2312" w:eastAsia="仿宋_GB2312" w:cs="仿宋_GB2312"/>
          <w:b/>
        </w:rPr>
      </w:pPr>
      <w:r>
        <w:rPr>
          <w:rFonts w:hint="eastAsia" w:ascii="仿宋_GB2312" w:hAnsi="仿宋_GB2312" w:eastAsia="仿宋_GB2312" w:cs="仿宋_GB2312"/>
          <w:b/>
          <w:sz w:val="22"/>
        </w:rPr>
        <w:t>（四）</w:t>
      </w:r>
      <w:r>
        <w:rPr>
          <w:rFonts w:ascii="仿宋_GB2312" w:hAnsi="仿宋_GB2312" w:eastAsia="仿宋_GB2312" w:cs="仿宋_GB2312"/>
          <w:b/>
          <w:i w:val="false"/>
          <w:strike w:val="false"/>
          <w:color w:val="000000"/>
          <w:sz w:val="22"/>
          <w:u w:val="none"/>
        </w:rPr>
        <w:t>跟进《大型个人信息处理者个人信息保护规定》新规</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文内联合研究院、数隐参会。该新规合并了2025年已公开征求意见的《大型网络平台个人信息保护规定》和《大型网络平台设立个人信息保护监督委员会规定》两个规章。新规采纳了多条我司意见，包括将监委会定性为内部治理机构，降低会议频率（三个月改为半年一次）等，采纳了数据中心、可携权响应等建议，但新增了部分“最严新规”APP监管要求，部分条款存在合规改造难度。现场争取到书面反馈机会，会后快速拉通研究院、数隐、BG法务等团队，对齐重点条款，共同研提建议、强化论证，现已形成书面建议反馈甲方。后续，将根据所提意见持续向数据局做工作，密切关注该规章动态。</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（五）</w:t>
      </w:r>
      <w:r>
        <w:rPr>
          <w:rFonts w:ascii="仿宋_GB2312" w:hAnsi="仿宋_GB2312" w:eastAsia="仿宋_GB2312" w:cs="仿宋_GB2312"/>
          <w:b/>
          <w:i w:val="false"/>
          <w:strike w:val="false"/>
          <w:color w:val="000000"/>
          <w:sz w:val="22"/>
          <w:u w:val="none"/>
        </w:rPr>
        <w:t>央办网安局召开F墙治理专题通报会</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着重强调了中央领导高度关注的背景和打击决心，从国安高度提出治理要求。目前利用云平台IP作为跳板FQ成为治理重点。会上通报了1-3月腾讯云、阿里云、火山云三家云平台FQ量级，腾讯云以3000余个违规IP排在第一。会上文内汇报了近期打击效果和困难，后续将联动CSIGPA、业务侧进一步提示监管要求和风险，高度重视联合打击治理的任务，加强自主发现能力和租户打击力度，做好与监管的技术沟通，尽快降低违规量级，显著提升治理效果。</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（六）</w:t>
      </w:r>
      <w:r>
        <w:rPr>
          <w:rFonts w:ascii="仿宋_GB2312" w:hAnsi="仿宋_GB2312" w:eastAsia="仿宋_GB2312" w:cs="仿宋_GB2312"/>
          <w:b/>
          <w:i w:val="false"/>
          <w:strike w:val="false"/>
          <w:color w:val="000000"/>
          <w:sz w:val="22"/>
          <w:u w:val="none"/>
        </w:rPr>
        <w:t>央办就网号认证服务收费事宜开展前期调研</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据了解，近期因CTID被审计署指出不应有商业盈利，可能面临停服。相关功能将由网号工程承接，网信办本次调研系为帮助企业降本增效，拟提出网号认证作为公共服务不应过度盈利。目前收费事宜仍在早期设想阶段，尚无明确排期规划，未来网信、公安、发改委也会就收费标准开展科学测算。文内在调研反馈中尽力争取减价和优惠政策，并继续与安管协同，密切关注后续监管。</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（七）</w:t>
      </w:r>
      <w:r>
        <w:rPr>
          <w:rFonts w:ascii="仿宋_GB2312" w:hAnsi="仿宋_GB2312" w:eastAsia="仿宋_GB2312" w:cs="仿宋_GB2312"/>
          <w:b/>
          <w:i w:val="false"/>
          <w:strike w:val="false"/>
          <w:spacing w:val="0"/>
          <w:sz w:val="22"/>
          <w:u w:val="none"/>
        </w:rPr>
        <w:t>广电总局网络司专项会议与境外影视剧清理</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val="false"/>
          <w:i w:val="false"/>
          <w:strike w:val="false"/>
          <w:spacing w:val="0"/>
          <w:sz w:val="22"/>
          <w:u w:val="none"/>
        </w:rPr>
        <w:t>25日，网络司就境外影视剧清理工作约谈了多家浏览器产品（百度、夸克、360、搜狗）。会上强调此项工作</w:t>
      </w:r>
      <w:r>
        <w:rPr>
          <w:rFonts w:hint="eastAsia" w:ascii="仿宋_GB2312" w:hAnsi="仿宋_GB2312" w:eastAsia="仿宋_GB2312" w:cs="仿宋_GB2312"/>
          <w:b w:val="false"/>
          <w:i w:val="false"/>
          <w:strike w:val="false"/>
          <w:spacing w:val="0"/>
          <w:sz w:val="22"/>
          <w:u w:val="none"/>
        </w:rPr>
        <w:t>有</w:t>
      </w:r>
      <w:r>
        <w:rPr>
          <w:rFonts w:ascii="仿宋_GB2312" w:hAnsi="仿宋_GB2312" w:eastAsia="仿宋_GB2312" w:cs="仿宋_GB2312"/>
          <w:b w:val="false"/>
          <w:i w:val="false"/>
          <w:strike w:val="false"/>
          <w:spacing w:val="0"/>
          <w:sz w:val="22"/>
          <w:u w:val="none"/>
        </w:rPr>
        <w:t>中央领导批示，要求各平台高度重视。主要要求QQ浏览器立即处理搜索聚合页及推荐榜单中的违规剧目，确保整改效果在今日显现，并汇报处理情况。同时网络司已建立工作群，让各平台互通信息、互相监督，共同拉齐整改标准，避免因整改不力而成为警示典型。智安目前通过片单梳理、多级布控、体验和风险平衡等方式进行策略收紧，当天下午甲方进一步检查后反馈平台治理有所改善。后续结合行业水位贮备地域开关能力，联动各方，持续应对。</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（八）</w:t>
      </w:r>
      <w:r>
        <w:rPr>
          <w:rFonts w:ascii="仿宋_GB2312" w:hAnsi="仿宋_GB2312" w:eastAsia="仿宋_GB2312" w:cs="仿宋_GB2312"/>
          <w:b/>
          <w:i w:val="false"/>
          <w:strike w:val="false"/>
          <w:spacing w:val="0"/>
          <w:sz w:val="22"/>
          <w:u w:val="none"/>
        </w:rPr>
        <w:t>网络司召开微短剧管理提示会</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PA 侧与腾讯视频、火龙漫剧、微信短剧业务一同参会。会议再次强调儿童微短剧及动画微短剧的管理要求，重申动画微短剧需于 4 月 1 日前按规定完成备案，并再次强调对于儿童类微短剧要加强管理，坚决抵制成人化、娱乐化、工具化的问题。</w:t>
      </w:r>
      <w:r>
        <w:rPr>
          <w:rFonts w:hint="eastAsia" w:ascii="仿宋_GB2312" w:hAnsi="仿宋_GB2312" w:eastAsia="仿宋_GB2312" w:cs="仿宋_GB2312"/>
          <w:b w:val="false"/>
          <w:i w:val="false"/>
          <w:strike w:val="false"/>
          <w:spacing w:val="0"/>
          <w:sz w:val="22"/>
          <w:u w:val="none"/>
        </w:rPr>
        <w:t>此外，</w:t>
      </w:r>
      <w:r>
        <w:rPr>
          <w:rFonts w:ascii="仿宋_GB2312" w:hAnsi="仿宋_GB2312" w:eastAsia="仿宋_GB2312" w:cs="仿宋_GB2312"/>
          <w:b w:val="false"/>
          <w:i w:val="false"/>
          <w:strike w:val="false"/>
          <w:spacing w:val="0"/>
          <w:sz w:val="22"/>
          <w:u w:val="none"/>
        </w:rPr>
        <w:t>提出各平台需健全审核管理尺度，后续总局将建立抽查巡查机制，并鼓励平台举报违规内容。PA 侧会后已向动漫、微信等传递要求，并按要求以书面形式提交有关动画微短剧和儿童类微短剧整体情况。</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（九）</w:t>
      </w:r>
      <w:r>
        <w:rPr>
          <w:rFonts w:ascii="仿宋_GB2312" w:hAnsi="仿宋_GB2312" w:eastAsia="仿宋_GB2312" w:cs="仿宋_GB2312"/>
          <w:b/>
          <w:i w:val="false"/>
          <w:strike w:val="false"/>
          <w:color w:val="000000"/>
          <w:sz w:val="22"/>
          <w:u w:val="none"/>
        </w:rPr>
        <w:t>IDC机房建设窗口指导回头看材料问询</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近期发改牵头联合工信、国家数据局三部委对IDC机房等算力基础设施新扩建开启窗口指导回头看，并新卷入网信了解各家IDC建设进展情况，包括算力集群特点、管理运维经验和应用场景等情况。经与集团PA拉通，联动行政、IDC、运管等团队对齐报送材料，后续共同做好算力设施窗口指导应对工作，目前各甲方无进一步问询。</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三、安全保障</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（一）</w:t>
      </w:r>
      <w:r>
        <w:rPr>
          <w:rFonts w:ascii="仿宋_GB2312" w:hAnsi="仿宋_GB2312" w:eastAsia="仿宋_GB2312" w:cs="仿宋_GB2312"/>
          <w:b/>
          <w:i w:val="false"/>
          <w:strike w:val="false"/>
          <w:color w:val="000000"/>
          <w:sz w:val="22"/>
          <w:u w:val="none"/>
        </w:rPr>
        <w:t>WXB、广电总局启动境外影视剧治理专项工作</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针对网络存储、集纳、传播境外影视剧（含切片、解说、教程）展开治理，包括图文、视频、短视频、搜索、推荐、浏览器、云存储、App等多个场景，团队已启动专项应对，为期一个月。由于要求比较泛化，正联动等多个甲方接口进一步细化标准和原则。</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（二）</w:t>
      </w:r>
      <w:r>
        <w:rPr>
          <w:rFonts w:ascii="仿宋_GB2312" w:hAnsi="仿宋_GB2312" w:eastAsia="仿宋_GB2312" w:cs="仿宋_GB2312"/>
          <w:b/>
          <w:i w:val="false"/>
          <w:strike w:val="false"/>
          <w:spacing w:val="0"/>
          <w:sz w:val="22"/>
          <w:u w:val="none"/>
        </w:rPr>
        <w:t>应对微信龙虾监管沟通</w:t>
      </w:r>
    </w:p>
    <w:p>
      <w:pPr>
        <w:numPr/>
        <w:pBdr>
          <w:bottom/>
        </w:pBdr>
        <w:snapToGrid/>
        <w:spacing w:line="460" w:lineRule="exact"/>
        <w:ind/>
        <w:jc w:val="both"/>
        <w:rPr>
          <w:rFonts w:ascii="仿宋_GB2312" w:hAnsi="仿宋_GB2312" w:eastAsia="仿宋_GB2312" w:cs="仿宋_GB2312"/>
          <w:sz w:val="22"/>
        </w:rPr>
      </w:pPr>
      <w:r>
        <w:rPr>
          <w:rFonts w:ascii="仿宋_GB2312" w:hAnsi="仿宋_GB2312" w:eastAsia="仿宋_GB2312" w:cs="仿宋_GB2312"/>
          <w:b w:val="false"/>
          <w:i w:val="false"/>
          <w:strike w:val="false"/>
          <w:spacing w:val="0"/>
          <w:sz w:val="22"/>
          <w:u w:val="none"/>
        </w:rPr>
        <w:t>3月22-23日，微信ClawBot及搜索评论功能引发中央网信办专班双重问询。文内主动沟通回应，澄清功能属性并准备书面材料备询。针对专班关注的涉1号漏出风险及新功能报送要求，及时联动WXGPA、运平部署搜索口及ClawBot策略防控升级，稳妥处理产品上线需求与监管合规要求</w:t>
      </w:r>
      <w:r>
        <w:rPr>
          <w:rFonts w:ascii="仿宋_GB2312" w:hAnsi="仿宋_GB2312" w:eastAsia="仿宋_GB2312" w:cs="仿宋_GB2312"/>
          <w:b/>
          <w:i w:val="false"/>
          <w:strike w:val="false"/>
          <w:spacing w:val="0"/>
          <w:u w:val="none"/>
        </w:rPr>
        <w:t>。</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i w:val="false"/>
          <w:strike w:val="false"/>
          <w:spacing w:val="0"/>
          <w:sz w:val="22"/>
          <w:u w:val="none"/>
        </w:rPr>
        <w:t>（三）</w:t>
      </w:r>
      <w:r>
        <w:rPr>
          <w:rFonts w:ascii="仿宋_GB2312" w:hAnsi="仿宋_GB2312" w:eastAsia="仿宋_GB2312" w:cs="仿宋_GB2312"/>
          <w:b/>
          <w:i w:val="false"/>
          <w:strike w:val="false"/>
          <w:color w:val="000000"/>
          <w:sz w:val="22"/>
          <w:u w:val="none"/>
        </w:rPr>
        <w:t>专题沟通云IP敏感信息调证机制</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接网安局指令，核查云IP租户日志镜像等敏感信息。文内联动CSIGPA、信安发调证团队对齐内部合规需求，专门拜访网安局沟通敏感数据调证手续，推动完善调证机制。甲方认为通过指令调取，开具函件即可，且行业其他家也是按此操作。经争取，最终甲方同意我司要求，可开具调证函，并提供2个安全中心员工的工作证。经了解，甲方全行业仅给我们一家提供了全面手续。后续团队将尽快与信安发调证团队沟通完善调证机制。</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（四）</w:t>
      </w:r>
      <w:r>
        <w:rPr>
          <w:rFonts w:ascii="仿宋_GB2312" w:hAnsi="仿宋_GB2312" w:eastAsia="仿宋_GB2312" w:cs="仿宋_GB2312"/>
          <w:b/>
          <w:i w:val="false"/>
          <w:strike w:val="false"/>
          <w:spacing w:val="0"/>
          <w:sz w:val="22"/>
          <w:u w:val="none"/>
        </w:rPr>
        <w:t>落实张雪峰去世舆情应对</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24日，张雪峰去世引发持续高热舆情，央办密集部署防控要求。文内联动安管中场团队聚焦降热，主要落实榜单调控、公众号文章加私及群圈环节防范关联李克强不当炒作。针对鼓噪聚集悼念、献花等行煽苗头，前置部署拦截策略，并营销甲方精细化处置，避免过度管控。</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（五）</w:t>
      </w:r>
      <w:r>
        <w:rPr>
          <w:rFonts w:ascii="仿宋_GB2312" w:hAnsi="仿宋_GB2312" w:eastAsia="仿宋_GB2312" w:cs="仿宋_GB2312"/>
          <w:b/>
          <w:i w:val="false"/>
          <w:strike w:val="false"/>
          <w:spacing w:val="0"/>
          <w:sz w:val="22"/>
          <w:u w:val="none"/>
        </w:rPr>
        <w:t>针对游戏投诉引发监管要求进行专项处置</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近期南山区监管侧收到的腾讯投诉件同比增加2000余件，增幅超20%，受理压力明显加大。监管侧于3月24日召集协调会，拟通过企业端压降投诉并避免重复投诉。会议明确六项举措：提交投诉增速专题分析报告，剖析深层次原因及改进举措；强化客服对接机制，减少投诉外溢至政府；探索投诉源头属地化分流；建立重复投诉10次以上重点预警与专项跟进；封号类投诉提供详实证据；配合区委信访报告提供数据支持。IEG PA参会，并将跟进落实相关事项。</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（六）</w:t>
      </w:r>
      <w:r>
        <w:rPr>
          <w:rFonts w:ascii="仿宋_GB2312" w:hAnsi="仿宋_GB2312" w:eastAsia="仿宋_GB2312" w:cs="仿宋_GB2312"/>
          <w:b/>
          <w:i w:val="false"/>
          <w:strike w:val="false"/>
          <w:spacing w:val="0"/>
          <w:sz w:val="22"/>
          <w:u w:val="none"/>
        </w:rPr>
        <w:t>支持魔方重要新品《洛克王国：世界》上线</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由IEG PA参与报审并进行游戏上线合规评估的洛克经典IP续作《洛克王国：世界》于3月26日开启全平台公测。该产品全网预约破6000万，创今年新游预约纪录。首日新进1500万，IOS畅销榜TOP3。其优质的游戏品质赢得了良好的口碑和市场，在团队合规护航下，也未出现内容风险相关舆情。团队后续将持续为潜力长青游戏提供助力。</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（七）</w:t>
      </w:r>
      <w:r>
        <w:rPr>
          <w:rFonts w:ascii="仿宋_GB2312" w:hAnsi="仿宋_GB2312" w:eastAsia="仿宋_GB2312" w:cs="仿宋_GB2312"/>
          <w:b/>
          <w:i w:val="false"/>
          <w:strike w:val="false"/>
          <w:spacing w:val="0"/>
          <w:sz w:val="22"/>
          <w:u w:val="none"/>
        </w:rPr>
        <w:t xml:space="preserve">处置《逐玉》片源泄漏相关舆情 </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20日晚腾讯视频和爱奇艺联播剧《逐玉》40集全集未播片源遭泄露，21日晚间资源链接扩散至社交平台集中爆发，经溯源锁定泄露源头为爱奇艺宣发环节。期间多个词条持续登上微博热搜。团队一方面推动主管部门多维度维权清理盗版链接；另一方面争取主管部门支持下架侵权负面热搜，防止负面舆情扩散，最大程度挽回损失。</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i w:val="false"/>
          <w:strike w:val="false"/>
          <w:spacing w:val="0"/>
          <w:sz w:val="22"/>
          <w:u w:val="none"/>
        </w:rPr>
        <w:t>（八）</w:t>
      </w:r>
      <w:r>
        <w:rPr>
          <w:rFonts w:ascii="仿宋_GB2312" w:hAnsi="仿宋_GB2312" w:eastAsia="仿宋_GB2312" w:cs="仿宋_GB2312"/>
          <w:b/>
          <w:i w:val="false"/>
          <w:strike w:val="false"/>
          <w:color w:val="000000"/>
          <w:sz w:val="22"/>
          <w:u w:val="none"/>
        </w:rPr>
        <w:t>综治局通报涉未成年不良有害信息</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文内接到央办综治局通报平台部分账号在QQ、微信群滥用未列管药品、自残自杀、违规售卖药品、诱导教唆他人变性等涉未成年人有害信息。团队立即联合中场、wxg/pcgpa、安管等核查，进一步加强涉滥用药品自杀自残、违规售药等信息整治，同时加强对甲运营，传递群聊场景治理难度，影响甲方减少关注群聊相关信息。</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（九）</w:t>
      </w:r>
      <w:r>
        <w:rPr>
          <w:rFonts w:ascii="仿宋_GB2312" w:hAnsi="仿宋_GB2312" w:eastAsia="仿宋_GB2312" w:cs="仿宋_GB2312"/>
          <w:b/>
          <w:i w:val="false"/>
          <w:strike w:val="false"/>
          <w:color w:val="000000"/>
          <w:sz w:val="22"/>
          <w:u w:val="none"/>
        </w:rPr>
        <w:t>稳妥应对广东茂名警民冲突事件</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茂名信宜市因政府在当地修建殡仪馆引发大规模抗议和警民冲突，3月18日起至现在，陆续聚集维权。监管要求管控视频，严防底线信息传播。此外，团队发现境外爆出信宜某厕所出现涉1号及其亲属有害标语，团队及时将境外线索报送属地网信，并加大管控力度同时上报有害线索，团队将持续感知监管力度，及时调整平台策略。</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（十）</w:t>
      </w:r>
      <w:r>
        <w:rPr>
          <w:rFonts w:ascii="仿宋_GB2312" w:hAnsi="仿宋_GB2312" w:eastAsia="仿宋_GB2312" w:cs="仿宋_GB2312"/>
          <w:b/>
          <w:i w:val="false"/>
          <w:strike w:val="false"/>
          <w:color w:val="000000"/>
          <w:sz w:val="22"/>
          <w:u w:val="none"/>
        </w:rPr>
        <w:t>省扫涉政非法出版物治理</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省扫就微信群内传播涉政非法出版物《红太阳是怎样升起的》等与公司沟通，讨论治理要求，文内联合安管</w:t>
      </w:r>
      <w:r>
        <w:rPr>
          <w:rFonts w:hint="eastAsia" w:ascii="仿宋_GB2312" w:hAnsi="仿宋_GB2312" w:eastAsia="仿宋_GB2312" w:cs="仿宋_GB2312"/>
          <w:i w:val="false"/>
          <w:strike w:val="false"/>
          <w:color w:val="000000"/>
          <w:sz w:val="22"/>
          <w:u w:val="none"/>
        </w:rPr>
        <w:t>参会</w:t>
      </w:r>
      <w:r>
        <w:rPr>
          <w:rFonts w:ascii="仿宋_GB2312" w:hAnsi="仿宋_GB2312" w:eastAsia="仿宋_GB2312" w:cs="仿宋_GB2312"/>
          <w:i w:val="false"/>
          <w:strike w:val="false"/>
          <w:color w:val="000000"/>
          <w:sz w:val="22"/>
          <w:u w:val="none"/>
        </w:rPr>
        <w:t>介绍微信群现有的治理策略以及涉政非法出版物的治理情况。由于甲方手里也没有本次通报的样本，从宏观治理上提出新的要求，比如加大对账号的处置、提高阶梯处罚的力度、共享非法涉政出版物样本等。目前已对齐全扫接口、安管、wxgpa等团队落实。</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（十一）</w:t>
      </w:r>
      <w:r>
        <w:rPr>
          <w:rFonts w:ascii="仿宋_GB2312" w:hAnsi="仿宋_GB2312" w:eastAsia="仿宋_GB2312" w:cs="仿宋_GB2312"/>
          <w:b/>
          <w:i w:val="false"/>
          <w:strike w:val="false"/>
          <w:color w:val="000000"/>
          <w:sz w:val="22"/>
          <w:u w:val="none"/>
        </w:rPr>
        <w:t>鹏办就1月元宝生成政治有害信息召开座谈</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文内代表公司参会 此次座谈是履行监管职责常规动作，事件已平稳落地。同时鹏办期待公司发挥新技术领域优势头部能力，提出监管建议，协助支持全市安全能力建设，参与属地网络执法小讲堂等活动，进一步配合监管加强机制建设和专业赋能。</w:t>
      </w:r>
    </w:p>
    <w:p>
      <w:pPr>
        <w:numPr/>
        <w:snapToGrid/>
        <w:spacing w:line="460" w:lineRule="exact"/>
        <w:ind/>
        <w:jc w:val="both"/>
        <w:rPr>
          <w:rFonts w:ascii="仿宋_GB2312" w:hAnsi="仿宋_GB2312" w:eastAsia="仿宋_GB2312" w:cs="仿宋_GB2312"/>
          <w:sz w:val="22"/>
        </w:rPr>
      </w:pPr>
      <w:r>
        <w:rPr>
          <w:rFonts w:hint="eastAsia" w:ascii="仿宋_GB2312" w:hAnsi="仿宋_GB2312" w:eastAsia="仿宋_GB2312" w:cs="仿宋_GB2312"/>
          <w:b/>
          <w:sz w:val="22"/>
        </w:rPr>
        <w:t>（十二）</w:t>
      </w:r>
      <w:r>
        <w:rPr>
          <w:rFonts w:ascii="仿宋_GB2312" w:hAnsi="仿宋_GB2312" w:eastAsia="仿宋_GB2312" w:cs="仿宋_GB2312"/>
          <w:b/>
          <w:i w:val="false"/>
          <w:strike w:val="false"/>
          <w:spacing w:val="0"/>
          <w:sz w:val="22"/>
          <w:u w:val="none"/>
        </w:rPr>
        <w:t>应用宝"一句话生成APK"</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应用宝"一句话生成APK"功能为中小开发者提供创意到落地的全链路服务近期计划公测。为此，安全团队向产品提供三项保障：①提供用户输入/输出场景、确认应用信息等内容安全管控能力，尽量从源头阻断风险；②联合法务降低合规风险，覆盖AI标识、算法备案、境外模型禁用风险、上架前审核等；③推动搭建风险溯源与重点开关机制，对高危品类应用生成进行必要限制。公测后安全团队也将持续加强巡查，结合业务实际动态跟进，支撑好产品稳健推进。</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（十三）</w:t>
      </w:r>
      <w:r>
        <w:rPr>
          <w:rFonts w:ascii="仿宋_GB2312" w:hAnsi="仿宋_GB2312" w:eastAsia="仿宋_GB2312" w:cs="仿宋_GB2312"/>
          <w:b/>
          <w:i w:val="false"/>
          <w:strike w:val="false"/>
          <w:color w:val="000000"/>
          <w:sz w:val="22"/>
          <w:u w:val="none"/>
        </w:rPr>
        <w:t>广东网信办通报多条涉民宗领域有害信息</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据悉，因多部委反映网上民族宗教问题，目前央办涉民族宗教管控压力较大，若再有漏出，恐有被处罚风险。文内拉通安管做好应对。</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i w:val="false"/>
          <w:strike w:val="false"/>
          <w:color w:val="000000"/>
          <w:sz w:val="22"/>
          <w:u w:val="none"/>
        </w:rPr>
        <w:t>（</w:t>
      </w:r>
      <w:r>
        <w:rPr>
          <w:rFonts w:hint="eastAsia" w:ascii="仿宋_GB2312" w:hAnsi="仿宋_GB2312" w:eastAsia="仿宋_GB2312" w:cs="仿宋_GB2312"/>
          <w:b/>
          <w:i w:val="false"/>
          <w:strike w:val="false"/>
          <w:color w:val="000000"/>
          <w:sz w:val="22"/>
          <w:u w:val="none"/>
        </w:rPr>
        <w:t>十四</w:t>
      </w:r>
      <w:r>
        <w:rPr>
          <w:rFonts w:hint="eastAsia" w:ascii="仿宋_GB2312" w:hAnsi="仿宋_GB2312" w:eastAsia="仿宋_GB2312" w:cs="仿宋_GB2312"/>
          <w:b/>
          <w:i w:val="false"/>
          <w:strike w:val="false"/>
          <w:color w:val="000000"/>
          <w:sz w:val="22"/>
          <w:u w:val="none"/>
        </w:rPr>
        <w:t>）</w:t>
      </w:r>
      <w:r>
        <w:rPr>
          <w:rFonts w:ascii="仿宋_GB2312" w:hAnsi="仿宋_GB2312" w:eastAsia="仿宋_GB2312" w:cs="仿宋_GB2312"/>
          <w:b/>
          <w:i w:val="false"/>
          <w:strike w:val="false"/>
          <w:color w:val="000000"/>
          <w:sz w:val="22"/>
          <w:u w:val="none"/>
        </w:rPr>
        <w:t>两号执法约谈情况</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公司收到两单罚单，一是视频号微信用户发布隐晦传播政治类敏感有害信息，被处罚50万；二是公号发布代写树立和践行正确政绩观学习教育心得体会等政治类敏感有害信息，被处罚20万。文内联合安管、WXG PA、PCG PA在广东网信办参加约谈，要求进一步提高政治站位，按要求做好整改工作。相关后续整改工作正有序推进中。</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四、AI相关动态</w:t>
      </w:r>
    </w:p>
    <w:p>
      <w:pPr>
        <w:pBdr>
          <w:bottom/>
        </w:pBd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（一）搜狗输入法计划上线跨端传输功能</w:t>
      </w:r>
    </w:p>
    <w:p>
      <w:p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搜狗输入法计划支持在各设备登录同一账号情况下，设备间的跨端复制粘贴（文本和单张图片）。经智安联合法务、风控共同评估，建议该功能限用户登录下主动选择传输设备、限制同传设备数量、复制内容短时间留存，以保障用户的数据安全、控制传播风险；同时对使用频率等做监控；储备阻断特定用户使用该功能的能力。</w:t>
      </w:r>
    </w:p>
    <w:p>
      <w:pPr>
        <w:numPr/>
        <w:pBdr>
          <w:bottom/>
        </w:pBd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sz w:val="22"/>
        </w:rPr>
        <w:t>（二）</w:t>
      </w:r>
      <w:r>
        <w:rPr>
          <w:rFonts w:ascii="仿宋_GB2312" w:hAnsi="仿宋_GB2312" w:eastAsia="仿宋_GB2312" w:cs="仿宋_GB2312"/>
          <w:b/>
          <w:i w:val="false"/>
          <w:strike w:val="false"/>
          <w:spacing w:val="0"/>
          <w:sz w:val="22"/>
          <w:u w:val="none"/>
        </w:rPr>
        <w:t>元印评估平台上线</w:t>
      </w:r>
    </w:p>
    <w:p>
      <w:pPr>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元印评估平台支持对 AIGC 对话评估、切片评估的能力，已实现 “创建任务 — 评估内容 — 数据查询” 的最小流程闭环。项目组已完成评估团队试评估体验的意见收集，梳理出 9 项需求并按高、中、低优先级拆分，将按Q2、Q3阶段分期开展功能开发和迭代优化，预计在Q2完成下载导出、标签管理能力后，可实现评估团队从线下迁移到系统上开展评估工作。同时，任务维度的评估指标统计功能正在开发中，后续将替代员工线下统计计算的方式。</w:t>
      </w:r>
    </w:p>
    <w:p>
      <w:pPr>
        <w:snapToGrid/>
        <w:spacing w:line="460" w:lineRule="exact"/>
        <w:ind/>
        <w:jc w:val="both"/>
        <w:rPr>
          <w:rFonts w:ascii="仿宋_GB2312" w:hAnsi="仿宋_GB2312" w:eastAsia="仿宋_GB2312" w:cs="仿宋_GB2312"/>
          <w:b/>
        </w:rPr>
      </w:pPr>
      <w:r>
        <w:rPr>
          <w:rFonts w:hint="eastAsia" w:ascii="仿宋_GB2312" w:hAnsi="仿宋_GB2312" w:eastAsia="仿宋_GB2312" w:cs="仿宋_GB2312"/>
          <w:b/>
          <w:i w:val="false"/>
          <w:strike w:val="false"/>
          <w:spacing w:val="0"/>
          <w:u w:val="none"/>
        </w:rPr>
        <w:t>（三）</w:t>
      </w:r>
      <w:r>
        <w:rPr>
          <w:rFonts w:ascii="仿宋_GB2312" w:hAnsi="仿宋_GB2312" w:eastAsia="仿宋_GB2312" w:cs="仿宋_GB2312"/>
          <w:b/>
          <w:i w:val="false"/>
          <w:strike w:val="false"/>
          <w:spacing w:val="0"/>
          <w:u w:val="none"/>
        </w:rPr>
        <w:t>QClaw公测安全支持</w:t>
      </w:r>
    </w:p>
    <w:p>
      <w:pPr>
        <w:pBdr/>
        <w:snapToGrid/>
        <w:spacing w:line="460" w:lineRule="exact"/>
        <w:ind/>
        <w:jc w:val="both"/>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QClaw全量公测，会同CSIGPA从网络安全、内容安全双维度开展上线前安全策略与风险review，累计发现代码绕过、攻击者控制、特殊操作触发卸载、标准值使用错误、策略链路失效等13类高危风险，联动产品紧急修复核心问题，保障QClaw顺利全量上线。</w:t>
      </w:r>
    </w:p>
    <w:p>
      <w:pPr>
        <w:pBdr/>
        <w:snapToGrid/>
        <w:spacing w:line="460" w:lineRule="exact"/>
        <w:ind/>
        <w:jc w:val="both"/>
        <w:rPr>
          <w:rFonts w:ascii="仿宋_GB2312" w:hAnsi="仿宋_GB2312" w:eastAsia="仿宋_GB2312" w:cs="仿宋_GB2312"/>
          <w:b/>
          <w:i w:val="false"/>
          <w:strike w:val="false"/>
          <w:spacing w:val="0"/>
          <w:u w:val="none"/>
        </w:rPr>
      </w:pPr>
      <w:r>
        <w:rPr>
          <w:rFonts w:hint="eastAsia" w:ascii="仿宋_GB2312" w:hAnsi="仿宋_GB2312" w:eastAsia="仿宋_GB2312" w:cs="仿宋_GB2312"/>
          <w:b/>
          <w:i w:val="false"/>
          <w:strike w:val="false"/>
          <w:spacing w:val="0"/>
          <w:u w:val="none"/>
        </w:rPr>
        <w:t>（四）</w:t>
      </w:r>
      <w:r>
        <w:rPr>
          <w:rFonts w:ascii="仿宋_GB2312" w:hAnsi="仿宋_GB2312" w:eastAsia="仿宋_GB2312" w:cs="仿宋_GB2312"/>
          <w:b/>
          <w:i w:val="false"/>
          <w:strike w:val="false"/>
          <w:spacing w:val="0"/>
          <w:u w:val="none"/>
        </w:rPr>
        <w:t>IEG涉诈案件核查系统及智能分析Agent上线</w:t>
      </w:r>
    </w:p>
    <w:p>
      <w:pPr>
        <w:pBdr>
          <w:bottom/>
        </w:pBdr>
        <w:snapToGrid/>
        <w:spacing w:line="460" w:lineRule="exact"/>
        <w:ind/>
        <w:jc w:val="both"/>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IEG PA协同业务安全部，上线IEG涉诈案件核查系统，实现国反案件的在线接收和反馈复盘。系统接入涉诈案件智能分析Agent，能够利用大模型提取涉案游戏、受害人类型、引流建联手段、涉诈游戏账号等信息，进一步细化判断诈骗类型，并通过人工复核保障案件分析的准确性；开发涉诈账号核查Agent，已实现重点游戏的涉诈账号自动化核查，智能查询账号数据并生成核查结论，大幅提高国反案件的精细化复盘与核查处置的效率。</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hint="eastAsia" w:ascii="仿宋_GB2312" w:hAnsi="仿宋_GB2312" w:eastAsia="仿宋_GB2312" w:cs="仿宋_GB2312"/>
          <w:color w:val="333333"/>
          <w:sz w:val="22"/>
          <w:shd w:val="clear" w:color="auto" w:fill="FFFFFF"/>
        </w:rPr>
        <w:t>五、</w:t>
      </w:r>
      <w:r>
        <w:rPr>
          <w:rFonts w:ascii="仿宋_GB2312" w:hAnsi="仿宋_GB2312" w:eastAsia="仿宋_GB2312" w:cs="仿宋_GB2312"/>
          <w:color w:val="333333"/>
          <w:sz w:val="22"/>
          <w:shd w:val="clear" w:color="auto" w:fill="FFFFFF"/>
        </w:rPr>
        <w:t>安全技术进展</w:t>
      </w:r>
    </w:p>
    <w:p>
      <w:pPr>
        <w:snapToGrid/>
        <w:spacing w:line="460" w:lineRule="exact"/>
        <w:ind/>
        <w:jc w:val="both"/>
        <w:rPr>
          <w:rFonts w:ascii="仿宋_GB2312" w:hAnsi="仿宋_GB2312" w:eastAsia="仿宋_GB2312" w:cs="仿宋_GB2312"/>
          <w:b/>
          <w:sz w:val="22"/>
        </w:rPr>
      </w:pPr>
      <w:r>
        <w:rPr>
          <w:rFonts w:ascii="仿宋_GB2312" w:hAnsi="仿宋_GB2312" w:eastAsia="仿宋_GB2312" w:cs="仿宋_GB2312"/>
          <w:b/>
          <w:i w:val="false"/>
          <w:strike w:val="false"/>
          <w:spacing w:val="0"/>
          <w:sz w:val="22"/>
          <w:u w:val="none"/>
        </w:rPr>
        <w:t>（一）安全团队Agent军团种子项目第二阶段进行中</w:t>
      </w:r>
    </w:p>
    <w:p>
      <w:pPr>
        <w:pBdr>
          <w:bottom/>
        </w:pBdr>
        <w:snapToGrid/>
        <w:spacing w:line="460" w:lineRule="exact"/>
        <w:ind/>
        <w:jc w:val="both"/>
        <w:rPr>
          <w:rFonts w:ascii="仿宋_GB2312" w:hAnsi="仿宋_GB2312" w:eastAsia="仿宋_GB2312" w:cs="仿宋_GB2312"/>
          <w:b w:val="false"/>
          <w:sz w:val="22"/>
        </w:rPr>
      </w:pPr>
      <w:r>
        <w:rPr>
          <w:rFonts w:ascii="仿宋_GB2312" w:hAnsi="仿宋_GB2312" w:eastAsia="仿宋_GB2312" w:cs="仿宋_GB2312"/>
          <w:b w:val="false"/>
          <w:i w:val="false"/>
          <w:strike w:val="false"/>
          <w:spacing w:val="0"/>
          <w:sz w:val="22"/>
          <w:u w:val="none"/>
        </w:rPr>
        <w:t>PCGPA五个种子项目开发节奏正常。基于珊瑚·灵礁平台完成了珊瑚标准平台、巡查案例管理、视频弹幕巡查、三新报备系统、热剧安全指标查询、服务更新重启共六个MCP的封装上线。同时，大模型的共用组件MCP和Skills封装已完成，包括通用风险点提取、内容安全判定等通用功能，下周会陆续部署至灵礁平台。</w:t>
      </w:r>
    </w:p>
    <w:p>
      <w:pPr>
        <w:snapToGrid/>
        <w:spacing w:line="460" w:lineRule="exact"/>
        <w:ind/>
        <w:jc w:val="both"/>
        <w:rPr>
          <w:rFonts w:ascii="仿宋_GB2312" w:hAnsi="仿宋_GB2312" w:eastAsia="仿宋_GB2312" w:cs="仿宋_GB2312"/>
          <w:b/>
          <w:sz w:val="22"/>
        </w:rPr>
      </w:pPr>
      <w:r>
        <w:rPr>
          <w:rFonts w:ascii="仿宋_GB2312" w:hAnsi="仿宋_GB2312" w:eastAsia="仿宋_GB2312" w:cs="仿宋_GB2312"/>
          <w:b/>
          <w:i w:val="false"/>
          <w:strike w:val="false"/>
          <w:spacing w:val="0"/>
          <w:sz w:val="22"/>
          <w:u w:val="none"/>
        </w:rPr>
        <w:t>（二）外文字幕质检审核评估</w:t>
      </w:r>
    </w:p>
    <w:p>
      <w:pPr>
        <w:pBdr>
          <w:bottom/>
        </w:pBdr>
        <w:snapToGrid/>
        <w:spacing w:line="460" w:lineRule="exact"/>
        <w:ind/>
        <w:jc w:val="both"/>
        <w:rPr>
          <w:rFonts w:ascii="仿宋_GB2312" w:hAnsi="仿宋_GB2312" w:eastAsia="仿宋_GB2312" w:cs="仿宋_GB2312"/>
          <w:b w:val="false"/>
          <w:sz w:val="22"/>
        </w:rPr>
      </w:pPr>
      <w:r>
        <w:rPr>
          <w:rFonts w:ascii="仿宋_GB2312" w:hAnsi="仿宋_GB2312" w:eastAsia="仿宋_GB2312" w:cs="仿宋_GB2312"/>
          <w:b w:val="false"/>
          <w:i w:val="false"/>
          <w:strike w:val="false"/>
          <w:spacing w:val="0"/>
          <w:sz w:val="22"/>
          <w:u w:val="none"/>
        </w:rPr>
        <w:t>PCGPA目前已与视频海外业务和平台都完成了沟通，审核形态已经确认。4月初启动平台开发和接入，预计首批会针对当前存量4000部、30集/部进行审核矫正。</w:t>
      </w:r>
    </w:p>
    <w:p>
      <w:pPr>
        <w:snapToGrid/>
        <w:spacing w:line="460" w:lineRule="exact"/>
        <w:ind/>
        <w:jc w:val="both"/>
        <w:rPr>
          <w:rFonts w:ascii="仿宋_GB2312" w:hAnsi="仿宋_GB2312" w:eastAsia="仿宋_GB2312" w:cs="仿宋_GB2312"/>
          <w:b/>
          <w:sz w:val="22"/>
        </w:rPr>
      </w:pPr>
      <w:r>
        <w:rPr>
          <w:rFonts w:ascii="仿宋_GB2312" w:hAnsi="仿宋_GB2312" w:eastAsia="仿宋_GB2312" w:cs="仿宋_GB2312"/>
          <w:b/>
          <w:i w:val="false"/>
          <w:strike w:val="false"/>
          <w:spacing w:val="0"/>
          <w:sz w:val="22"/>
          <w:u w:val="none"/>
        </w:rPr>
        <w:t>（四）数据分析Agent完成初步平台产品化上线</w:t>
      </w:r>
    </w:p>
    <w:p>
      <w:pPr>
        <w:pBdr>
          <w:bottom/>
        </w:pBdr>
        <w:snapToGrid/>
        <w:spacing w:line="460" w:lineRule="exact"/>
        <w:ind/>
        <w:jc w:val="both"/>
        <w:rPr>
          <w:rFonts w:ascii="仿宋_GB2312" w:hAnsi="仿宋_GB2312" w:eastAsia="仿宋_GB2312" w:cs="仿宋_GB2312"/>
          <w:b w:val="false"/>
          <w:sz w:val="22"/>
        </w:rPr>
      </w:pPr>
      <w:r>
        <w:rPr>
          <w:rFonts w:ascii="仿宋_GB2312" w:hAnsi="仿宋_GB2312" w:eastAsia="仿宋_GB2312" w:cs="仿宋_GB2312"/>
          <w:b w:val="false"/>
          <w:i w:val="false"/>
          <w:strike w:val="false"/>
          <w:spacing w:val="0"/>
          <w:sz w:val="22"/>
          <w:u w:val="none"/>
        </w:rPr>
        <w:t xml:space="preserve">数据分析Agent已完成珊瑚数据平台洞察分析模块的上线，与数据查询预览功能打通，可针对用户查询结果进行一键分析，支持安全运营的个性化指标计算分析。同时，文件类数据分析Agent计划部署至灵礁平台，增加对话框上传文件功能，可应用于风险治理的社交Q群风险分析和其他项目的临时性分析，目前已完成产品方案设计，开发中。  </w:t>
      </w:r>
    </w:p>
    <w:p>
      <w:pPr>
        <w:snapToGrid/>
        <w:spacing w:line="460" w:lineRule="exact"/>
        <w:ind/>
        <w:jc w:val="both"/>
        <w:rPr>
          <w:rFonts w:ascii="仿宋_GB2312" w:hAnsi="仿宋_GB2312" w:eastAsia="仿宋_GB2312" w:cs="仿宋_GB2312"/>
          <w:b/>
          <w:sz w:val="22"/>
        </w:rPr>
      </w:pPr>
      <w:r>
        <w:rPr>
          <w:rFonts w:ascii="仿宋_GB2312" w:hAnsi="仿宋_GB2312" w:eastAsia="仿宋_GB2312" w:cs="仿宋_GB2312"/>
          <w:b/>
          <w:i w:val="false"/>
          <w:strike w:val="false"/>
          <w:spacing w:val="0"/>
          <w:sz w:val="22"/>
          <w:u w:val="none"/>
        </w:rPr>
        <w:t xml:space="preserve">（三）PCGPA算法能力升级支撑大禹联合项目 </w:t>
      </w:r>
    </w:p>
    <w:p>
      <w:pPr>
        <w:pBdr>
          <w:bottom/>
        </w:pBdr>
        <w:snapToGrid/>
        <w:spacing w:line="460" w:lineRule="exact"/>
        <w:ind/>
        <w:jc w:val="both"/>
        <w:rPr>
          <w:rFonts w:ascii="仿宋_GB2312" w:hAnsi="仿宋_GB2312" w:eastAsia="仿宋_GB2312" w:cs="仿宋_GB2312"/>
          <w:b w:val="false"/>
          <w:sz w:val="22"/>
        </w:rPr>
      </w:pPr>
      <w:r>
        <w:rPr>
          <w:rFonts w:ascii="仿宋_GB2312" w:hAnsi="仿宋_GB2312" w:eastAsia="仿宋_GB2312" w:cs="仿宋_GB2312"/>
          <w:b w:val="false"/>
          <w:i w:val="false"/>
          <w:strike w:val="false"/>
          <w:spacing w:val="0"/>
          <w:sz w:val="22"/>
          <w:u w:val="none"/>
        </w:rPr>
        <w:t>大禹平台大模型提词在语种上做了进一步拓展支持，除中英外，德语法语法语意大利语都可以正确提取。同时支持查分处平台的自动化链路样本定级定性分析，包括常委识别等重要风险点识别，已经完成了联调上线。</w:t>
      </w:r>
    </w:p>
    <w:p>
      <w:pPr>
        <w:snapToGrid/>
        <w:spacing w:line="460" w:lineRule="exact"/>
        <w:ind/>
        <w:jc w:val="both"/>
        <w:rPr>
          <w:rFonts w:ascii="仿宋_GB2312" w:hAnsi="仿宋_GB2312" w:eastAsia="仿宋_GB2312" w:cs="仿宋_GB2312"/>
          <w:b/>
          <w:sz w:val="22"/>
        </w:rPr>
      </w:pPr>
      <w:r>
        <w:rPr>
          <w:rFonts w:ascii="仿宋_GB2312" w:hAnsi="仿宋_GB2312" w:eastAsia="仿宋_GB2312" w:cs="仿宋_GB2312"/>
          <w:b/>
          <w:i w:val="false"/>
          <w:strike w:val="false"/>
          <w:spacing w:val="0"/>
          <w:sz w:val="22"/>
          <w:u w:val="none"/>
        </w:rPr>
        <w:t>（五）视频重点IP专项支持</w:t>
      </w:r>
    </w:p>
    <w:p>
      <w:pPr>
        <w:snapToGrid/>
        <w:spacing w:line="460" w:lineRule="exact"/>
        <w:jc w:val="both"/>
        <w:rPr>
          <w:rFonts w:ascii="仿宋_GB2312" w:hAnsi="仿宋_GB2312" w:eastAsia="仿宋_GB2312" w:cs="仿宋_GB2312"/>
          <w:b w:val="false"/>
          <w:sz w:val="22"/>
        </w:rPr>
      </w:pPr>
      <w:r>
        <w:rPr>
          <w:rFonts w:ascii="仿宋_GB2312" w:hAnsi="仿宋_GB2312" w:eastAsia="仿宋_GB2312" w:cs="仿宋_GB2312"/>
          <w:b w:val="false"/>
          <w:i w:val="false"/>
          <w:strike w:val="false"/>
          <w:spacing w:val="0"/>
          <w:sz w:val="22"/>
          <w:u w:val="none"/>
        </w:rPr>
        <w:t>PCGPA热播剧数据专项板块，新增配置上线：奋斗吧人生-演员篇，支持互动安全生态监测。</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六、对甲支持&amp;互动&amp;重要材料报送</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sz w:val="22"/>
        </w:rPr>
        <w:t>（一）</w:t>
      </w:r>
      <w:r>
        <w:rPr>
          <w:rFonts w:ascii="仿宋_GB2312" w:hAnsi="仿宋_GB2312" w:eastAsia="仿宋_GB2312" w:cs="仿宋_GB2312"/>
          <w:b/>
          <w:i w:val="false"/>
          <w:strike w:val="false"/>
          <w:color w:val="000000"/>
          <w:sz w:val="22"/>
          <w:u w:val="none"/>
        </w:rPr>
        <w:t>参加2026全国网络举报工作会议</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文内代表参会。期间，团队着重与四川、重庆、成都、广东等多属地WXB领导深入交流，进一步加深属地关系。同时公司在辟谣沙龙中策划演出节目，获四川WXB高度肯定。</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sz w:val="22"/>
        </w:rPr>
        <w:t>（二）</w:t>
      </w:r>
      <w:r>
        <w:rPr>
          <w:rFonts w:ascii="仿宋_GB2312" w:hAnsi="仿宋_GB2312" w:eastAsia="仿宋_GB2312" w:cs="仿宋_GB2312"/>
          <w:b/>
          <w:i w:val="false"/>
          <w:strike w:val="false"/>
          <w:color w:val="000000"/>
          <w:sz w:val="22"/>
          <w:u w:val="none"/>
        </w:rPr>
        <w:t>北京范儿短视频大赛第四单元启动仪式举办</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本单元由腾讯作为主承办平台，文内代表公司参加启动环节，IEG品数部在活动分享《无畏契约》即将在京举办无畏巡回活动情况。启动仪式上，公司发布单元亮点玩法，包括上线视频号特效创作模版、联动CSIG腾讯云开展AI百校行等活动，积极宣推公司正向实践。</w:t>
      </w:r>
    </w:p>
    <w:p>
      <w:pPr>
        <w:numP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sz w:val="22"/>
        </w:rPr>
        <w:t>（三）</w:t>
      </w:r>
      <w:r>
        <w:rPr>
          <w:rFonts w:ascii="仿宋_GB2312" w:hAnsi="仿宋_GB2312" w:eastAsia="仿宋_GB2312" w:cs="仿宋_GB2312"/>
          <w:b/>
          <w:i w:val="false"/>
          <w:strike w:val="false"/>
          <w:spacing w:val="0"/>
          <w:sz w:val="22"/>
          <w:u w:val="none"/>
        </w:rPr>
        <w:t>商务部合作司开展游戏出海调研</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val="false"/>
          <w:i w:val="false"/>
          <w:strike w:val="false"/>
          <w:spacing w:val="0"/>
          <w:sz w:val="22"/>
          <w:u w:val="none"/>
        </w:rPr>
        <w:t>此次调研旨在从促进全球供应链合作的视角，研究游戏出海业务面临的具体挑战与可行支持路径。IEG PA协助集团PA完成相关材料提报工作，将跟踪后续政策动向。</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sz w:val="22"/>
        </w:rPr>
        <w:t>（四）</w:t>
      </w:r>
      <w:r>
        <w:rPr>
          <w:rFonts w:ascii="仿宋_GB2312" w:hAnsi="仿宋_GB2312" w:eastAsia="仿宋_GB2312" w:cs="仿宋_GB2312"/>
          <w:b/>
          <w:i w:val="false"/>
          <w:strike w:val="false"/>
          <w:color w:val="000000"/>
          <w:sz w:val="22"/>
          <w:u w:val="none"/>
        </w:rPr>
        <w:t>在深接待上海嘉定区委宣传部</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期间，甲方对公司技术引领、投身公益等做法赞扬有加，希望在未保、银发、乡村振兴、短剧等方面与公司有交流与合作探索。后续团队将探索项目落地可能。</w:t>
      </w:r>
    </w:p>
    <w:p>
      <w:pP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（五）</w:t>
      </w:r>
      <w:bookmarkStart w:id="1" w:name="OLE_LINK1"/>
      <w:r>
        <w:rPr>
          <w:rFonts w:ascii="仿宋_GB2312" w:hAnsi="仿宋_GB2312" w:eastAsia="仿宋_GB2312" w:cs="仿宋_GB2312"/>
          <w:b/>
          <w:i w:val="false"/>
          <w:strike w:val="false"/>
          <w:spacing w:val="0"/>
          <w:sz w:val="22"/>
          <w:u w:val="none"/>
        </w:rPr>
        <w:t>《网络出版科技创新引领计划》</w:t>
      </w:r>
      <w:bookmarkEnd w:id="1"/>
      <w:r>
        <w:rPr>
          <w:rFonts w:ascii="仿宋_GB2312" w:hAnsi="仿宋_GB2312" w:eastAsia="仿宋_GB2312" w:cs="仿宋_GB2312"/>
          <w:b/>
          <w:i w:val="false"/>
          <w:strike w:val="false"/>
          <w:spacing w:val="0"/>
          <w:sz w:val="22"/>
          <w:u w:val="none"/>
        </w:rPr>
        <w:t>征集企业实践案例</w:t>
      </w:r>
    </w:p>
    <w:p>
      <w:p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在国家新闻出版署等部门印发《网络出版科技创新引领计划》一周年之际，主管部门启动了企业案例征集工作。3月24日，广东省委宣传部通知腾讯、网易、中手游等7家出版单位提交相关材料。IEG PA已协同IEG公共技术线、自研体系管理部、公关等团队，完成公司游戏科技创新及跨领域应用项目材料的整理与上报。</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sz w:val="22"/>
        </w:rPr>
        <w:t>（六）</w:t>
      </w:r>
      <w:r>
        <w:rPr>
          <w:rFonts w:ascii="仿宋_GB2312" w:hAnsi="仿宋_GB2312" w:eastAsia="仿宋_GB2312" w:cs="仿宋_GB2312"/>
          <w:b/>
          <w:i w:val="false"/>
          <w:strike w:val="false"/>
          <w:color w:val="000000"/>
          <w:sz w:val="22"/>
          <w:u w:val="none"/>
        </w:rPr>
        <w:t>参加广东数据安全与个保协会揭牌活动</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24日，在广东网信办指导下，广东个保护协会举办揭牌仪式，广东网信办副主任王敏伟出席活动，并邀请世界互联网大会秘书长任贤良、网安协会副理事长卢卫等嘉宾出席。公司作为副会长单位，文内受邀出席，并邀请研究院围绕AI安全议题进行主题分享。</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（七）</w:t>
      </w:r>
      <w:r>
        <w:rPr>
          <w:rFonts w:ascii="仿宋_GB2312" w:hAnsi="仿宋_GB2312" w:eastAsia="仿宋_GB2312" w:cs="仿宋_GB2312"/>
          <w:b/>
          <w:i w:val="false"/>
          <w:strike w:val="false"/>
          <w:color w:val="000000"/>
          <w:sz w:val="22"/>
          <w:u w:val="none"/>
        </w:rPr>
        <w:t>智能体态势监测情况周报</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甲方对首周周报表示满意，暂无新增要求。经与csigpa和产品侧确认对齐后，本周更新上报两产品量级和恶意skill情况。截止3月26日，Lighthouse openclaw服务器总量12w；workbuddy 用户量55w，dau20w，排查恶意skills 145条。后续持续关注甲方反馈情况，跟进产品态势。</w:t>
      </w:r>
    </w:p>
    <w:p>
      <w:pPr>
        <w:numPr/>
        <w:snapToGrid/>
        <w:spacing w:before="0" w:after="0" w:line="460" w:lineRule="exact"/>
        <w:ind w:left="0" w:right="0"/>
        <w:jc w:val="both"/>
        <w:rPr>
          <w:rFonts w:ascii="仿宋_GB2312" w:hAnsi="仿宋_GB2312" w:eastAsia="仿宋_GB2312" w:cs="仿宋_GB2312"/>
        </w:rPr>
      </w:pPr>
      <w:r>
        <w:rPr>
          <w:rFonts w:hint="eastAsia" w:ascii="仿宋_GB2312" w:hAnsi="仿宋_GB2312" w:eastAsia="仿宋_GB2312" w:cs="仿宋_GB2312"/>
          <w:b/>
          <w:sz w:val="22"/>
        </w:rPr>
        <w:t>（八）</w:t>
      </w:r>
      <w:r>
        <w:rPr>
          <w:rFonts w:ascii="仿宋_GB2312" w:hAnsi="仿宋_GB2312" w:eastAsia="仿宋_GB2312" w:cs="仿宋_GB2312"/>
          <w:b/>
          <w:i w:val="false"/>
          <w:strike w:val="false"/>
          <w:color w:val="000000"/>
          <w:sz w:val="22"/>
          <w:u w:val="none"/>
        </w:rPr>
        <w:t>网络安全风险联防联治</w:t>
      </w:r>
    </w:p>
    <w:p>
      <w:pPr>
        <w:numPr/>
        <w:pBdr>
          <w:bottom/>
        </w:pBd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i w:val="false"/>
          <w:strike w:val="false"/>
          <w:color w:val="000000"/>
          <w:sz w:val="22"/>
          <w:u w:val="none"/>
        </w:rPr>
        <w:t>团队共收到网安局网络安全协查指令1条，涉及云租户风险ip地址1项，联动csigpa、调证团队完成风险ip地址注册信息调证核查工作并反馈。收到CNCERT协防要求数据5份，联合云安全、产品团队，在浏览器中拦截钓鱼网址等恶意线索61条。</w:t>
      </w:r>
    </w:p>
    <w:p>
      <w:pPr>
        <w:numPr/>
        <w:pBdr>
          <w:bottom/>
        </w:pBdr>
        <w:snapToGrid/>
        <w:spacing w:before="0" w:after="0" w:line="460" w:lineRule="exact"/>
        <w:ind w:left="0" w:right="0"/>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（九）</w:t>
      </w:r>
      <w:r>
        <w:rPr>
          <w:rFonts w:ascii="仿宋_GB2312" w:hAnsi="仿宋_GB2312" w:eastAsia="仿宋_GB2312" w:cs="仿宋_GB2312"/>
          <w:b/>
          <w:i w:val="false"/>
          <w:strike w:val="false"/>
          <w:spacing w:val="0"/>
          <w:sz w:val="22"/>
          <w:u w:val="none"/>
        </w:rPr>
        <w:t>多甲方关注美以伊战事舆情</w:t>
      </w:r>
    </w:p>
    <w:p>
      <w:pPr>
        <w:numPr/>
        <w:pBdr>
          <w:bottom/>
        </w:pBdr>
        <w:snapToGrid/>
        <w:spacing w:line="460" w:lineRule="exact"/>
        <w:ind w:left="0"/>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ZXB、WXB、BJB等甲方持续关注美伊局势及其影响，多角度向团队约稿，包括事件舆情态势、港台舆论反响、伊朗社交舆论战、AI影响、油价波动舆情等，并担忧涉华负面论调、“三车”群体行煽风险。舆情联动文内、安管，通过约稿向甲方传递权威报道评论引领舆论理性观战、AI对战事影响被夸大、“三车”群体行煽信息占比低等，缓解甲方担忧。后续将持续关注舆情态势及动向，协同做好风险防控与应对。</w:t>
      </w:r>
    </w:p>
    <w:p>
      <w:pPr>
        <w:numPr/>
        <w:pBdr/>
        <w:snapToGrid/>
        <w:spacing w:line="460" w:lineRule="exact"/>
        <w:ind w:left="0"/>
        <w:jc w:val="both"/>
        <w:rPr>
          <w:rFonts w:ascii="仿宋_GB2312" w:hAnsi="仿宋_GB2312" w:eastAsia="仿宋_GB2312" w:cs="仿宋_GB2312"/>
          <w:b/>
          <w:i w:val="false"/>
          <w:strike w:val="false"/>
          <w:color w:val="FF0000"/>
          <w:spacing w:val="0"/>
          <w:sz w:val="22"/>
          <w:u w:val="none"/>
        </w:rPr>
      </w:pPr>
      <w:r>
        <w:rPr>
          <w:rFonts w:hint="eastAsia" w:ascii="仿宋_GB2312" w:hAnsi="仿宋_GB2312" w:eastAsia="仿宋_GB2312" w:cs="仿宋_GB2312"/>
          <w:b/>
          <w:sz w:val="22"/>
        </w:rPr>
        <w:t>（十）</w:t>
      </w:r>
      <w:r>
        <w:rPr>
          <w:rFonts w:ascii="仿宋_GB2312" w:hAnsi="仿宋_GB2312" w:eastAsia="仿宋_GB2312" w:cs="仿宋_GB2312"/>
          <w:b/>
          <w:i w:val="false"/>
          <w:strike w:val="false"/>
          <w:color w:val="FF0000"/>
          <w:spacing w:val="0"/>
          <w:sz w:val="22"/>
          <w:u w:val="none"/>
        </w:rPr>
        <w:t>ZXB集中关注AI发展及其对宣传工作的影响</w:t>
      </w:r>
    </w:p>
    <w:p>
      <w:pPr>
        <w:numPr/>
        <w:pBdr>
          <w:bottom/>
        </w:pBdr>
        <w:snapToGrid/>
        <w:spacing w:line="460" w:lineRule="exact"/>
        <w:ind w:left="0"/>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近期，ZXB多个司局围绕AI智能体应用现状及其对舆论宣传工作的影响接连约稿，包括AI对文艺创作的影响、AI智能体对国际传播的应用前景、AI智能体应用中存在的安全风险以及如何利用AI扩大主流舆论影响、防范意识意识形态风险等议题。舆情协同PA团队，通过辨析智能体类型、传递公司自研产品和相关安全措施，引导甲方理性看待AI发展，并积极传递AI助力数字文化出海、Token出海成为国际传播新范式等观点。</w:t>
      </w:r>
    </w:p>
    <w:p>
      <w:pPr>
        <w:numPr/>
        <w:pBdr>
          <w:bottom/>
        </w:pBdr>
        <w:snapToGrid/>
        <w:spacing w:before="0" w:after="0" w:line="460" w:lineRule="exact"/>
        <w:ind/>
        <w:jc w:val="both"/>
        <w:rPr>
          <w:rFonts w:ascii="仿宋_GB2312" w:hAnsi="仿宋_GB2312" w:eastAsia="仿宋_GB2312" w:cs="仿宋_GB2312"/>
          <w:b/>
          <w:i w:val="false"/>
          <w:strike w:val="false"/>
          <w:spacing w:val="0"/>
          <w:sz w:val="22"/>
          <w:u w:val="none"/>
        </w:rPr>
      </w:pPr>
      <w:r>
        <w:rPr>
          <w:rFonts w:hint="eastAsia" w:ascii="仿宋_GB2312" w:hAnsi="仿宋_GB2312" w:eastAsia="仿宋_GB2312" w:cs="仿宋_GB2312"/>
          <w:b/>
          <w:sz w:val="22"/>
        </w:rPr>
        <w:t>（十一）</w:t>
      </w:r>
      <w:r>
        <w:rPr>
          <w:rFonts w:ascii="仿宋_GB2312" w:hAnsi="仿宋_GB2312" w:eastAsia="仿宋_GB2312" w:cs="仿宋_GB2312"/>
          <w:b/>
          <w:i w:val="false"/>
          <w:strike w:val="false"/>
          <w:spacing w:val="0"/>
          <w:sz w:val="22"/>
          <w:u w:val="none"/>
        </w:rPr>
        <w:t>支持市监总局跟进“外卖大战”舆论反馈</w:t>
      </w:r>
    </w:p>
    <w:p>
      <w:pPr>
        <w:numPr/>
        <w:pBdr>
          <w:bottom/>
        </w:pBdr>
        <w:snapToGrid/>
        <w:spacing w:line="460" w:lineRule="exact"/>
        <w:ind w:left="0"/>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近期，市场监管总局官网转发《经济日报》文章《外卖大战该结束了》引发舆论关注，舆论将此举解读为遏制平台“内卷式”竞争的强信号。市监总局关注舆论反响并向团队约稿，舆情支持市监PA总结舆论反响正面理性、支持叫停“外卖大战”，同时围绕舆论的质疑和担忧问题向甲方做好风险提示。</w:t>
      </w:r>
    </w:p>
    <w:p>
      <w:pPr>
        <w:pStyle w:val="000003"/>
        <w:spacing w:before="80" w:after="80" w:line="460" w:lineRule="exact"/>
        <w:jc w:val="both"/>
        <w:outlineLvl w:val="9"/>
        <w:rPr>
          <w:rFonts w:ascii="仿宋_GB2312" w:hAnsi="仿宋_GB2312" w:eastAsia="仿宋_GB2312" w:cs="仿宋_GB2312"/>
          <w:color w:val="333333"/>
          <w:sz w:val="22"/>
          <w:shd w:val="clear" w:color="auto" w:fill="FFFFFF"/>
        </w:rPr>
      </w:pPr>
      <w:r>
        <w:rPr>
          <w:rFonts w:ascii="仿宋_GB2312" w:hAnsi="仿宋_GB2312" w:eastAsia="仿宋_GB2312" w:cs="仿宋_GB2312"/>
          <w:color w:val="333333"/>
          <w:sz w:val="22"/>
          <w:shd w:val="clear" w:color="auto" w:fill="FFFFFF"/>
        </w:rPr>
        <w:t>七、外部合作/产品动态/奖项荣誉</w:t>
      </w:r>
    </w:p>
    <w:p>
      <w:pPr>
        <w:pBdr>
          <w:bottom/>
        </w:pBdr>
        <w:snapToGrid/>
        <w:spacing w:line="460" w:lineRule="exact"/>
        <w:ind w:left="0"/>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i w:val="false"/>
          <w:strike w:val="false"/>
          <w:spacing w:val="0"/>
          <w:sz w:val="22"/>
          <w:u w:val="none"/>
        </w:rPr>
        <w:t>（一）推动王者荣耀共创之夜落地深圳</w:t>
      </w:r>
    </w:p>
    <w:p>
      <w:pPr>
        <w:pBdr>
          <w:bottom/>
        </w:pBdr>
        <w:snapToGrid/>
        <w:spacing w:line="460" w:lineRule="exact"/>
        <w:ind w:left="0"/>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24日，IEG PA协同王者荣耀项目组赴市文广旅体局开展专项沟通，双方就今年10月“共创之夜”项目落地事宜进行对接协调。此次拜访中，PA为项目组争取了场地、宣传及公共文体资源等支持，并依托深圳市丰富的山海自然资源与人文场景，助力长青游戏的后续内容深化。</w:t>
      </w:r>
    </w:p>
    <w:p>
      <w:pPr>
        <w:numPr/>
        <w:snapToGrid/>
        <w:spacing w:before="0" w:after="0" w:line="460" w:lineRule="exact"/>
        <w:ind w:left="0" w:right="0"/>
        <w:jc w:val="both"/>
        <w:rPr>
          <w:rFonts w:ascii="仿宋_GB2312" w:hAnsi="仿宋_GB2312" w:eastAsia="仿宋_GB2312" w:cs="仿宋_GB2312"/>
        </w:rPr>
      </w:pPr>
      <w:r>
        <w:rPr>
          <w:rFonts w:ascii="仿宋_GB2312" w:hAnsi="仿宋_GB2312" w:eastAsia="仿宋_GB2312" w:cs="仿宋_GB2312"/>
          <w:b/>
          <w:sz w:val="22"/>
        </w:rPr>
        <w:t>（二）</w:t>
      </w:r>
      <w:r>
        <w:rPr>
          <w:rFonts w:ascii="仿宋_GB2312" w:hAnsi="仿宋_GB2312" w:eastAsia="仿宋_GB2312" w:cs="仿宋_GB2312"/>
          <w:b/>
          <w:i w:val="false"/>
          <w:strike w:val="false"/>
          <w:color w:val="000000"/>
          <w:sz w:val="22"/>
          <w:u w:val="none"/>
        </w:rPr>
        <w:t>协助产品与信息化局沟通OpenCloudOS新安全体系</w:t>
      </w:r>
    </w:p>
    <w:p>
      <w:pPr>
        <w:snapToGrid/>
        <w:spacing w:before="0" w:after="0" w:line="460" w:lineRule="exact"/>
        <w:jc w:val="both"/>
        <w:rPr>
          <w:rFonts w:ascii="仿宋_GB2312" w:hAnsi="仿宋_GB2312" w:eastAsia="仿宋_GB2312" w:cs="仿宋_GB2312"/>
          <w:sz w:val="22"/>
        </w:rPr>
      </w:pPr>
      <w:r>
        <w:rPr>
          <w:rFonts w:ascii="仿宋_GB2312" w:hAnsi="仿宋_GB2312" w:eastAsia="仿宋_GB2312" w:cs="仿宋_GB2312"/>
          <w:i w:val="false"/>
          <w:strike w:val="false"/>
          <w:color w:val="000000"/>
          <w:sz w:val="22"/>
          <w:u w:val="none"/>
        </w:rPr>
        <w:t>OpenCloudOS社区发布国内首个AI Agent增强的动态漏洞分类分级体系EARS V1。文内与CSIG云开源团队对齐，初步沟通甲方，甲方对OpenCloudOS社区做的工作表示认可，近期尽快形成汇报材料后上报甲方，争取获得甲方支持，助力产品发展。</w:t>
      </w:r>
    </w:p>
    <w:p>
      <w:pPr>
        <w:numPr/>
        <w:pBdr/>
        <w:snapToGrid/>
        <w:spacing w:line="460" w:lineRule="exact"/>
        <w:ind/>
        <w:jc w:val="both"/>
        <w:rPr>
          <w:rFonts w:ascii="仿宋_GB2312" w:hAnsi="仿宋_GB2312" w:eastAsia="仿宋_GB2312" w:cs="仿宋_GB2312"/>
          <w:b/>
          <w:i w:val="false"/>
          <w:strike w:val="false"/>
          <w:spacing w:val="0"/>
          <w:sz w:val="22"/>
          <w:u w:val="none"/>
        </w:rPr>
      </w:pPr>
      <w:r>
        <w:rPr>
          <w:rFonts w:ascii="仿宋_GB2312" w:hAnsi="仿宋_GB2312" w:eastAsia="仿宋_GB2312" w:cs="仿宋_GB2312"/>
          <w:b/>
          <w:sz w:val="22"/>
        </w:rPr>
        <w:t>（三）</w:t>
      </w:r>
      <w:r>
        <w:rPr>
          <w:rFonts w:ascii="仿宋_GB2312" w:hAnsi="仿宋_GB2312" w:eastAsia="仿宋_GB2312" w:cs="仿宋_GB2312"/>
          <w:b/>
          <w:i w:val="false"/>
          <w:strike w:val="false"/>
          <w:spacing w:val="0"/>
          <w:sz w:val="22"/>
          <w:u w:val="none"/>
        </w:rPr>
        <w:t>舆情面向公司开展AI实践授课</w:t>
      </w:r>
    </w:p>
    <w:p>
      <w:pPr>
        <w:numPr/>
        <w:pBdr>
          <w:bottom/>
        </w:pBdr>
        <w:snapToGrid/>
        <w:spacing w:line="460" w:lineRule="exact"/>
        <w:ind/>
        <w:jc w:val="both"/>
        <w:rPr>
          <w:rFonts w:ascii="仿宋_GB2312" w:hAnsi="仿宋_GB2312" w:eastAsia="仿宋_GB2312" w:cs="仿宋_GB2312"/>
          <w:b w:val="false"/>
          <w:i w:val="false"/>
          <w:strike w:val="false"/>
          <w:spacing w:val="0"/>
          <w:sz w:val="22"/>
          <w:u w:val="none"/>
        </w:rPr>
      </w:pPr>
      <w:r>
        <w:rPr>
          <w:rFonts w:ascii="仿宋_GB2312" w:hAnsi="仿宋_GB2312" w:eastAsia="仿宋_GB2312" w:cs="仿宋_GB2312"/>
          <w:b w:val="false"/>
          <w:i w:val="false"/>
          <w:strike w:val="false"/>
          <w:spacing w:val="0"/>
          <w:sz w:val="22"/>
          <w:u w:val="none"/>
        </w:rPr>
        <w:t>在腾讯学堂组织的“AI提效优秀实践分享奖”评选中，舆情团队申报的“利用AI发现涉企恶意攻击”项目，被评选为S1的AI实践优秀代表，并面向全公司进行了《AI在舆情发现与预警中的提效实践》专题分享，结合真实案例总结了AI在舆情发现、监测、分析等舆情工作环节的实践和成果。 后续团队也将持续迭代项目，进一步探索和扩大AI在工作中的提效作用。</w:t>
      </w:r>
    </w:p>
    <w:p>
      <w:pPr>
        <w:snapToGrid/>
        <w:spacing w:before="0" w:after="0" w:line="460" w:lineRule="exact"/>
        <w:ind w:left="0" w:right="0"/>
        <w:jc w:val="both"/>
        <w:rPr/>
      </w:pPr>
      <w:r>
        <w:rPr>
          <w:rFonts w:ascii="仿宋_GB2312" w:hAnsi="仿宋_GB2312" w:eastAsia="仿宋_GB2312" w:cs="仿宋_GB2312"/>
          <w:i w:val="false"/>
          <w:strike w:val="false"/>
          <w:color w:val="000000"/>
          <w:sz w:val="22"/>
          <w:u w:val="none"/>
        </w:rPr>
        <w:t> </w:t>
      </w:r>
    </w:p>
    <w:p>
      <w:pPr>
        <w:pBdr/>
        <w:snapToGrid/>
        <w:spacing w:line="460" w:lineRule="exact"/>
        <w:ind/>
        <w:jc w:val="both"/>
        <w:rPr>
          <w:rFonts w:ascii="仿宋_GB2312" w:hAnsi="仿宋_GB2312" w:eastAsia="仿宋_GB2312" w:cs="仿宋_GB2312"/>
          <w:b w:val="false"/>
          <w:i w:val="false"/>
          <w:strike w:val="false"/>
          <w:spacing w:val="0"/>
          <w:sz w:val="22"/>
          <w:u w:val="none"/>
        </w:rPr>
      </w:pPr>
    </w:p>
    <w:p>
      <w:pPr>
        <w:pBdr/>
        <w:snapToGrid/>
        <w:spacing w:line="460" w:lineRule="exact"/>
        <w:ind/>
        <w:jc w:val="both"/>
        <w:rPr>
          <w:rFonts w:ascii="仿宋_GB2312" w:hAnsi="仿宋_GB2312" w:eastAsia="仿宋_GB2312" w:cs="仿宋_GB2312"/>
          <w:b w:val="false"/>
          <w:i w:val="false"/>
          <w:strike w:val="false"/>
          <w:spacing w:val="0"/>
          <w:sz w:val="22"/>
          <w:u w:val="none"/>
        </w:rPr>
      </w:pPr>
    </w:p>
    <w:p>
      <w:pPr>
        <w:pBdr/>
        <w:snapToGrid/>
        <w:spacing w:line="460" w:lineRule="exact"/>
        <w:ind/>
        <w:jc w:val="both"/>
        <w:rPr>
          <w:rFonts w:ascii="仿宋_GB2312" w:hAnsi="仿宋_GB2312" w:eastAsia="仿宋_GB2312" w:cs="仿宋_GB2312"/>
          <w:b w:val="false"/>
          <w:i w:val="false"/>
          <w:strike w:val="false"/>
          <w:spacing w:val="0"/>
          <w:sz w:val="22"/>
          <w:u w:val="none"/>
        </w:rPr>
      </w:pPr>
    </w:p>
    <w:sectPr w:rsidR="00D35697">
      <w:pgSz w:w="11906" w:h="16838"/>
      <w:pgMar w:top="1361" w:right="1417" w:bottom="1361" w:left="1417" w:header="712" w:footer="853" w:gutter="0"/>
      <w:cols w:space="720"/>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仿宋_GB2312">
    <w:altName w:val="微软雅黑"/>
    <w:panose1 w:val="020B0604020202020204"/>
    <w:charset w:val="86" w:characterSet="ISO-8859-1"/>
    <w:family w:val="modern"/>
    <w:pitch w:val="fixed"/>
    <w:sig w:usb0="00000003" w:usb1="080E0000" w:usb2="00000010" w:usb3="00000000" w:csb0="00040001" w:csb1="00000000"/>
  </w:font>
  <w:font w:name="minorHAnsi">
    <w:altName w:val="Cambria"/>
    <w:panose1 w:val="020B0604020202020204"/>
    <w:charset w:val="00" w:characterSet="ISO-8859-1"/>
    <w:family w:val="auto"/>
    <w:pitch w:val="default"/>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settings.xml><?xml version="1.0" encoding="utf-8"?>
<w:settings xmlns:w="http://schemas.openxmlformats.org/wordprocessingml/2006/main">
  <w:zoom w:percent="200"/>
  <w:bordersDoNotSurroundHeader/>
  <w:bordersDoNotSurroundFooter/>
  <w:proofState w:spelling="clean" w:grammar="clean"/>
  <w:defaultTabStop w:val="420"/>
  <w:characterSpacingControl w:val="doNotCompress"/>
  <w:compat>
    <w:spaceForUL/>
    <w:balanceSingleByteDoubleByteWidth/>
    <w:doNotLeaveBackslashAlone/>
    <w:ulTrailSpace/>
    <w:doNotExpandShiftReturn/>
    <w:adjustLineHeightInTable/>
    <w:useFELayout/>
    <w:compatSetting w:name="useWord2013TrackBottomHyphenation" w:uri="http://schemas.microsoft.com/office/word" w:val="1"/>
    <w:compatSetting w:name="compatibilityMode" w:uri="http://schemas.microsoft.com/office/word" w:val="12"/>
  </w:compat>
  <w:rsids>
    <w:rsidRoot w:val="002E2CDA"/>
    <w:rsid w:val="000041CB"/>
    <w:rsid w:val="00007918"/>
    <w:rsid w:val="00013E68"/>
    <w:rsid w:val="00044333"/>
    <w:rsid w:val="00052851"/>
    <w:rsid w:val="00065E0E"/>
    <w:rsid w:val="00065F15"/>
    <w:rsid w:val="000742B5"/>
    <w:rsid w:val="00086ADF"/>
    <w:rsid w:val="000955D9"/>
    <w:rsid w:val="000B3FEA"/>
    <w:rsid w:val="000D1929"/>
    <w:rsid w:val="000F0A90"/>
    <w:rsid w:val="000F11C4"/>
    <w:rsid w:val="000F2430"/>
    <w:rsid w:val="001017CF"/>
    <w:rsid w:val="00112742"/>
    <w:rsid w:val="00127910"/>
    <w:rsid w:val="00130552"/>
    <w:rsid w:val="00131655"/>
    <w:rsid w:val="00140386"/>
    <w:rsid w:val="001744AA"/>
    <w:rsid w:val="00186A0D"/>
    <w:rsid w:val="001A12CB"/>
    <w:rsid w:val="001C6F34"/>
    <w:rsid w:val="001F2B4D"/>
    <w:rsid w:val="001F4C27"/>
    <w:rsid w:val="0022534B"/>
    <w:rsid w:val="00245FC5"/>
    <w:rsid w:val="0026110F"/>
    <w:rsid w:val="00267E86"/>
    <w:rsid w:val="0027418B"/>
    <w:rsid w:val="002B0C62"/>
    <w:rsid w:val="002C1B0C"/>
    <w:rsid w:val="002E2CDA"/>
    <w:rsid w:val="0030616E"/>
    <w:rsid w:val="00314746"/>
    <w:rsid w:val="00347865"/>
    <w:rsid w:val="003558EE"/>
    <w:rsid w:val="00360D66"/>
    <w:rsid w:val="0036530A"/>
    <w:rsid w:val="003866B7"/>
    <w:rsid w:val="003D4C65"/>
    <w:rsid w:val="003D5285"/>
    <w:rsid w:val="003F69FD"/>
    <w:rsid w:val="00400168"/>
    <w:rsid w:val="00437B42"/>
    <w:rsid w:val="004419FB"/>
    <w:rsid w:val="004B635F"/>
    <w:rsid w:val="004E03AF"/>
    <w:rsid w:val="004F4667"/>
    <w:rsid w:val="004F78D0"/>
    <w:rsid w:val="00503A23"/>
    <w:rsid w:val="0052726E"/>
    <w:rsid w:val="005272DD"/>
    <w:rsid w:val="005318F9"/>
    <w:rsid w:val="00532BDB"/>
    <w:rsid w:val="0053589C"/>
    <w:rsid w:val="00565C79"/>
    <w:rsid w:val="0057152E"/>
    <w:rsid w:val="00584C60"/>
    <w:rsid w:val="005B55F6"/>
    <w:rsid w:val="005C4E66"/>
    <w:rsid w:val="005F656D"/>
    <w:rsid w:val="00603A7B"/>
    <w:rsid w:val="00640009"/>
    <w:rsid w:val="00642A40"/>
    <w:rsid w:val="00661C9F"/>
    <w:rsid w:val="00685130"/>
    <w:rsid w:val="006B7B41"/>
    <w:rsid w:val="006C6606"/>
    <w:rsid w:val="006F1C63"/>
    <w:rsid w:val="00704507"/>
    <w:rsid w:val="007A21CB"/>
    <w:rsid w:val="007F32DA"/>
    <w:rsid w:val="008431DE"/>
    <w:rsid w:val="008442AE"/>
    <w:rsid w:val="0086038B"/>
    <w:rsid w:val="00863B90"/>
    <w:rsid w:val="00865F9E"/>
    <w:rsid w:val="008925C4"/>
    <w:rsid w:val="008E3DDE"/>
    <w:rsid w:val="009025E2"/>
    <w:rsid w:val="00930D19"/>
    <w:rsid w:val="009530A5"/>
    <w:rsid w:val="00977CBE"/>
    <w:rsid w:val="00980F4A"/>
    <w:rsid w:val="009E597B"/>
    <w:rsid w:val="009F160C"/>
    <w:rsid w:val="00A06995"/>
    <w:rsid w:val="00A11935"/>
    <w:rsid w:val="00A354E4"/>
    <w:rsid w:val="00A516B0"/>
    <w:rsid w:val="00A71CD5"/>
    <w:rsid w:val="00AD4A18"/>
    <w:rsid w:val="00AE14E4"/>
    <w:rsid w:val="00B10E14"/>
    <w:rsid w:val="00B37E3C"/>
    <w:rsid w:val="00B71B11"/>
    <w:rsid w:val="00BB342F"/>
    <w:rsid w:val="00BB77A7"/>
    <w:rsid w:val="00BF2F59"/>
    <w:rsid w:val="00C23012"/>
    <w:rsid w:val="00C46C46"/>
    <w:rsid w:val="00C568C5"/>
    <w:rsid w:val="00C61DBF"/>
    <w:rsid w:val="00C65218"/>
    <w:rsid w:val="00C96A4F"/>
    <w:rsid w:val="00C97E19"/>
    <w:rsid w:val="00CA3849"/>
    <w:rsid w:val="00CA5BAC"/>
    <w:rsid w:val="00CB5C28"/>
    <w:rsid w:val="00CC5AD7"/>
    <w:rsid w:val="00D01B1C"/>
    <w:rsid w:val="00D12A18"/>
    <w:rsid w:val="00D24FE0"/>
    <w:rsid w:val="00D35697"/>
    <w:rsid w:val="00D426EF"/>
    <w:rsid w:val="00D45513"/>
    <w:rsid w:val="00D638F5"/>
    <w:rsid w:val="00D66385"/>
    <w:rsid w:val="00D76601"/>
    <w:rsid w:val="00D90432"/>
    <w:rsid w:val="00D93083"/>
    <w:rsid w:val="00DB76A3"/>
    <w:rsid w:val="00DC4FC3"/>
    <w:rsid w:val="00DC6790"/>
    <w:rsid w:val="00DD2A1E"/>
    <w:rsid w:val="00DE592A"/>
    <w:rsid w:val="00E91FEE"/>
    <w:rsid w:val="00EA767C"/>
    <w:rsid w:val="00EF4F75"/>
    <w:rsid w:val="00F50038"/>
    <w:rsid w:val="00FA062B"/>
    <w:rsid w:val="00FB6FCF"/>
    <w:rsid w:val="00FB70F4"/>
    <w:rsid w:val="00FD7748"/>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Grid Table 1 Light Accent 1" w:uiPriority="46"/>
    <w:lsdException w:name="Table Contemporary" w:semiHidden="true" w:unhideWhenUsed="true"/>
    <w:lsdException w:name="List Table 5 Dark Accent 2" w:uiPriority="50"/>
    <w:lsdException w:name="Grid Table 5 Dark Accent 4" w:uiPriority="50"/>
    <w:lsdException w:name="List Number" w:semiHidden="true" w:unhideWhenUsed="true"/>
    <w:lsdException w:name="Body Text Indent 2" w:semiHidden="true" w:unhideWhenUsed="true"/>
    <w:lsdException w:name="List Table 7 Colorful Accent 6" w:uiPriority="52"/>
    <w:lsdException w:name="Light List Accent 2" w:uiPriority="61"/>
    <w:lsdException w:name="List Table 6 Colorful Accent 1" w:uiPriority="51"/>
    <w:lsdException w:name="Plain Table 4" w:uiPriority="44"/>
    <w:lsdException w:name="Grid Table 4 Accent 1" w:uiPriority="49"/>
    <w:lsdException w:name="Table Columns 5" w:semiHidden="true" w:unhideWhenUsed="true"/>
    <w:lsdException w:name="Light Shading Accent 3" w:uiPriority="60"/>
    <w:lsdException w:name="List Continue 4" w:semiHidden="true" w:unhideWhenUsed="true"/>
    <w:lsdException w:name="Colorful List Accent 2" w:uiPriority="72"/>
    <w:lsdException w:name="Table Grid 4" w:semiHidden="true" w:unhideWhenUsed="true"/>
    <w:lsdException w:name="List Number 5" w:semiHidden="true" w:unhideWhenUsed="true"/>
    <w:lsdException w:name="List Table 3 Accent 2" w:uiPriority="48"/>
    <w:lsdException w:name="List Number 3" w:semiHidden="true" w:unhideWhenUsed="true"/>
    <w:lsdException w:name="index 4" w:semiHidden="true" w:unhideWhenUsed="true"/>
    <w:lsdException w:name="Unresolved Mention" w:semiHidden="true" w:unhideWhenUsed="true"/>
    <w:lsdException w:name="Grid Table 6 Colorful Accent 4" w:uiPriority="51"/>
    <w:lsdException w:name="Table Grid 3" w:semiHidden="true" w:unhideWhenUsed="true"/>
    <w:lsdException w:name="index 5" w:semiHidden="true" w:unhideWhenUsed="true"/>
    <w:lsdException w:name="Body Text First Indent" w:semiHidden="true" w:unhideWhenUsed="true"/>
    <w:lsdException w:name="heading 4" w:uiPriority="9" w:semiHidden="true" w:unhideWhenUsed="true" w:qFormat="true"/>
    <w:lsdException w:name="heading 8" w:uiPriority="9" w:semiHidden="true" w:unhideWhenUsed="true" w:qFormat="true"/>
    <w:lsdException w:name="envelope return" w:semiHidden="true" w:unhideWhenUsed="true"/>
    <w:lsdException w:name="annotation text" w:semiHidden="true" w:unhideWhenUsed="true"/>
    <w:lsdException w:name="Grid Table 1 Light Accent 5" w:uiPriority="46"/>
    <w:lsdException w:name="Smart Hyperlink" w:semiHidden="true" w:unhideWhenUsed="true"/>
    <w:lsdException w:name="Medium Grid 1 Accent 5" w:uiPriority="67"/>
    <w:lsdException w:name="Table Web 1" w:semiHidden="true" w:unhideWhenUsed="true"/>
    <w:lsdException w:name="toc 8" w:uiPriority="39" w:semiHidden="true" w:unhideWhenUsed="true"/>
    <w:lsdException w:name="index 2" w:semiHidden="true" w:unhideWhenUsed="true"/>
    <w:lsdException w:name="Table List 6" w:semiHidden="true" w:unhideWhenUsed="true"/>
    <w:lsdException w:name="List Table 6 Colorful Accent 4" w:uiPriority="51"/>
    <w:lsdException w:name="List Table 4 Accent 2" w:uiPriority="49"/>
    <w:lsdException w:name="List 5" w:semiHidden="true" w:unhideWhenUsed="true"/>
    <w:lsdException w:name="Medium Grid 3 Accent 6" w:uiPriority="69"/>
    <w:lsdException w:name="HTML Variable" w:semiHidden="true" w:unhideWhenUsed="true"/>
    <w:lsdException w:name="Colorful Grid Accent 1" w:uiPriority="73"/>
    <w:lsdException w:name="No Spacing" w:uiPriority="1" w:qFormat="true"/>
    <w:lsdException w:name="Light Shading" w:uiPriority="60"/>
    <w:lsdException w:name="List Table 5 Dark Accent 3" w:uiPriority="50"/>
    <w:lsdException w:name="List Table 1 Light Accent 2" w:uiPriority="46"/>
    <w:lsdException w:name="Plain Table 2" w:uiPriority="42"/>
    <w:lsdException w:name="heading 9" w:uiPriority="9" w:semiHidden="true" w:unhideWhenUsed="true" w:qFormat="true"/>
    <w:lsdException w:name="Intense Emphasis" w:uiPriority="21" w:qFormat="true"/>
    <w:lsdException w:name="Grid Table 7 Colorful" w:uiPriority="52"/>
    <w:lsdException w:name="Note Heading" w:semiHidden="true" w:unhideWhenUsed="true"/>
    <w:lsdException w:name="Normal (Web)" w:semiHidden="true" w:unhideWhenUsed="true"/>
    <w:lsdException w:name="Intense Reference" w:uiPriority="32" w:qFormat="true"/>
    <w:lsdException w:name="Colorful Grid Accent 4" w:uiPriority="73"/>
    <w:lsdException w:name="Colorful List Accent 6" w:uiPriority="72"/>
    <w:lsdException w:name="Table List 5" w:semiHidden="true" w:unhideWhenUsed="true"/>
    <w:lsdException w:name="Medium Grid 2 Accent 4" w:uiPriority="68"/>
    <w:lsdException w:name="Emphasis" w:uiPriority="20" w:qFormat="true"/>
    <w:lsdException w:name="Grid Table 1 Light" w:uiPriority="46"/>
    <w:lsdException w:name="E-mail Signature" w:semiHidden="true" w:unhideWhenUsed="true"/>
    <w:lsdException w:name="Grid Table 3" w:uiPriority="48"/>
    <w:lsdException w:name="Medium Shading 2 Accent 1" w:uiPriority="64"/>
    <w:lsdException w:name="Medium Shading 1" w:uiPriority="63"/>
    <w:lsdException w:name="Document Map" w:semiHidden="true" w:unhideWhenUsed="true"/>
    <w:lsdException w:name="Subtle Reference" w:uiPriority="31" w:qFormat="true"/>
    <w:lsdException w:name="List Table 4 Accent 4" w:uiPriority="49"/>
    <w:lsdException w:name="List Table 2 Accent 1" w:uiPriority="47"/>
    <w:lsdException w:name="Medium Shading 2" w:uiPriority="64"/>
    <w:lsdException w:name="Medium List 2 Accent 1" w:uiPriority="66"/>
    <w:lsdException w:name="Light Shading Accent 2" w:uiPriority="60"/>
    <w:lsdException w:name="List Bullet 5" w:semiHidden="true" w:unhideWhenUsed="true"/>
    <w:lsdException w:name="List Table 7 Colorful Accent 3" w:uiPriority="52"/>
    <w:lsdException w:name="List Table 2 Accent 2" w:uiPriority="47"/>
    <w:lsdException w:name="Colorful List Accent 3" w:uiPriority="72"/>
    <w:lsdException w:name="Plain Table 3" w:uiPriority="43"/>
    <w:lsdException w:name="List 2" w:semiHidden="true" w:unhideWhenUsed="true"/>
    <w:lsdException w:name="List Table 1 Light Accent 4" w:uiPriority="46"/>
    <w:lsdException w:name="HTML Cite" w:semiHidden="true" w:unhideWhenUsed="true"/>
    <w:lsdException w:name="toc 3" w:uiPriority="39" w:semiHidden="true" w:unhideWhenUsed="true"/>
    <w:lsdException w:name="List Table 4 Accent 1" w:uiPriority="49"/>
    <w:lsdException w:name="Medium Grid 1 Accent 1" w:uiPriority="67"/>
    <w:lsdException w:name="Light Grid Accent 4" w:uiPriority="62"/>
    <w:lsdException w:name="Medium Grid 3 Accent 1" w:uiPriority="69"/>
    <w:lsdException w:name="envelope address" w:semiHidden="true" w:unhideWhenUsed="true"/>
    <w:lsdException w:name="Title" w:uiPriority="10" w:qFormat="true"/>
    <w:lsdException w:name="index 1" w:semiHidden="true" w:unhideWhenUsed="true"/>
    <w:lsdException w:name="HTML Keyboard" w:semiHidden="true" w:unhideWhenUsed="true"/>
    <w:lsdException w:name="Colorful List Accent 5" w:uiPriority="72"/>
    <w:lsdException w:name="List Bullet 3" w:semiHidden="true" w:unhideWhenUsed="true"/>
    <w:lsdException w:name="toc 4" w:uiPriority="39" w:semiHidden="true" w:unhideWhenUsed="true"/>
    <w:lsdException w:name="Light List Accent 5" w:uiPriority="61"/>
    <w:lsdException w:name="List Number 2" w:semiHidden="true" w:unhideWhenUsed="true"/>
    <w:lsdException w:name="Table Subtle 2" w:semiHidden="true" w:unhideWhenUsed="true"/>
    <w:lsdException w:name="List Table 2" w:uiPriority="47"/>
    <w:lsdException w:name="Medium Grid 1" w:uiPriority="67"/>
    <w:lsdException w:name="Medium List 2 Accent 3" w:uiPriority="66"/>
    <w:lsdException w:name="Table 3D effects 3" w:semiHidden="true" w:unhideWhenUsed="true"/>
    <w:lsdException w:name="Medium Shading 1 Accent 4" w:uiPriority="63"/>
    <w:lsdException w:name="Normal Indent" w:semiHidden="true" w:unhideWhenUsed="true"/>
    <w:lsdException w:name="footnote reference" w:semiHidden="true" w:unhideWhenUsed="true"/>
    <w:lsdException w:name="List Table 6 Colorful Accent 5" w:uiPriority="51"/>
    <w:lsdException w:name="Grid Table 2 Accent 6" w:uiPriority="47"/>
    <w:lsdException w:name="Message Header" w:semiHidden="true" w:unhideWhenUsed="true"/>
    <w:lsdException w:name="toc 2" w:uiPriority="39" w:semiHidden="true" w:unhideWhenUsed="true"/>
    <w:lsdException w:name="Normal Table" w:semiHidden="true" w:unhideWhenUsed="true"/>
    <w:lsdException w:name="index 8" w:semiHidden="true" w:unhideWhenUsed="true"/>
    <w:lsdException w:name="Medium Grid 1 Accent 2" w:uiPriority="67"/>
    <w:lsdException w:name="Grid Table 6 Colorful Accent 6" w:uiPriority="51"/>
    <w:lsdException w:name="Light List Accent 4" w:uiPriority="61"/>
    <w:lsdException w:name="List Table 2 Accent 6" w:uiPriority="47"/>
    <w:lsdException w:name="Dark List" w:uiPriority="70"/>
    <w:lsdException w:name="Dark List Accent 3" w:uiPriority="70"/>
    <w:lsdException w:name="Medium Shading 2 Accent 5" w:uiPriority="64"/>
    <w:lsdException w:name="HTML Address" w:semiHidden="true" w:unhideWhenUsed="true"/>
    <w:lsdException w:name="Bibliography" w:uiPriority="37" w:semiHidden="true" w:unhideWhenUsed="true"/>
    <w:lsdException w:name="HTML Top of Form" w:semiHidden="true" w:unhideWhenUsed="true"/>
    <w:lsdException w:name="Book Title" w:uiPriority="33" w:qFormat="true"/>
    <w:lsdException w:name="Medium List 2 Accent 2" w:uiPriority="66"/>
    <w:lsdException w:name="Colorful Shading" w:uiPriority="71"/>
    <w:lsdException w:name="List Table 5 Dark Accent 4" w:uiPriority="50"/>
    <w:lsdException w:name="Table Classic 3" w:semiHidden="true" w:unhideWhenUsed="true"/>
    <w:lsdException w:name="Colorful Shading Accent 5" w:uiPriority="71"/>
    <w:lsdException w:name="HTML Typewriter" w:semiHidden="true" w:unhideWhenUsed="true"/>
    <w:lsdException w:name="List Table 1 Light Accent 5" w:uiPriority="46"/>
    <w:lsdException w:name="Table Simple 1" w:semiHidden="true" w:unhideWhenUsed="true"/>
    <w:lsdException w:name="caption" w:uiPriority="35" w:semiHidden="true" w:unhideWhenUsed="true" w:qFormat="true"/>
    <w:lsdException w:name="Signature" w:semiHidden="true" w:unhideWhenUsed="true"/>
    <w:lsdException w:name="Table List 1" w:semiHidden="true" w:unhideWhenUsed="true"/>
    <w:lsdException w:name="Table List 4" w:semiHidden="true" w:unhideWhenUsed="true"/>
    <w:lsdException w:name="heading 2" w:uiPriority="9" w:semiHidden="true" w:unhideWhenUsed="true" w:qFormat="true"/>
    <w:lsdException w:name="Grid Table 5 Dark Accent 1" w:uiPriority="50"/>
    <w:lsdException w:name="Body Text 2" w:semiHidden="true" w:unhideWhenUsed="true"/>
    <w:lsdException w:name="Light Grid Accent 5" w:uiPriority="62"/>
    <w:lsdException w:name="Medium List 1" w:uiPriority="65"/>
    <w:lsdException w:name="Medium Shading 1 Accent 2" w:uiPriority="63"/>
    <w:lsdException w:name="HTML Acronym" w:semiHidden="true" w:unhideWhenUsed="true"/>
    <w:lsdException w:name="Table Classic 1" w:semiHidden="true" w:unhideWhenUsed="true"/>
    <w:lsdException w:name="Colorful Grid Accent 2" w:uiPriority="73"/>
    <w:lsdException w:name="annotation subject" w:semiHidden="true" w:unhideWhenUsed="true"/>
    <w:lsdException w:name="List Table 5 Dark" w:uiPriority="50"/>
    <w:lsdException w:name="Medium List 2 Accent 4" w:uiPriority="66"/>
    <w:lsdException w:name="footnote text" w:semiHidden="true" w:unhideWhenUsed="true"/>
    <w:lsdException w:name="List Table 3" w:uiPriority="48"/>
    <w:lsdException w:name="List Table 7 Colorful Accent 1" w:uiPriority="52"/>
    <w:lsdException w:name="Light Shading Accent 6" w:uiPriority="60"/>
    <w:lsdException w:name="Medium List 2" w:uiPriority="66"/>
    <w:lsdException w:name="List Table 2 Accent 4" w:uiPriority="47"/>
    <w:lsdException w:name="Grid Table 6 Colorful Accent 1" w:uiPriority="51"/>
    <w:lsdException w:name="List Continue" w:semiHidden="true" w:unhideWhenUsed="true"/>
    <w:lsdException w:name="Body Text 3" w:semiHidden="true" w:unhideWhenUsed="true"/>
    <w:lsdException w:name="Grid Table 2 Accent 1" w:uiPriority="47"/>
    <w:lsdException w:name="Grid Table 5 Dark Accent 2" w:uiPriority="50"/>
    <w:lsdException w:name="Light List Accent 1" w:uiPriority="61"/>
    <w:lsdException w:name="Medium List 2 Accent 6" w:uiPriority="66"/>
    <w:lsdException w:name="Light List" w:uiPriority="61"/>
    <w:lsdException w:name="Grid Table 2" w:uiPriority="47"/>
    <w:lsdException w:name="index 9" w:semiHidden="true" w:unhideWhenUsed="true"/>
    <w:lsdException w:name="Placeholder Text" w:semiHidden="true"/>
    <w:lsdException w:name="Grid Table 3 Accent 2" w:uiPriority="48"/>
    <w:lsdException w:name="Medium Grid 2 Accent 6" w:uiPriority="68"/>
    <w:lsdException w:name="List Table 4" w:uiPriority="49"/>
    <w:lsdException w:name="Grid Table 7 Colorful Accent 2" w:uiPriority="52"/>
    <w:lsdException w:name="HTML Sample" w:semiHidden="true" w:unhideWhenUsed="true"/>
    <w:lsdException w:name="Table Colorful 2" w:semiHidden="true" w:unhideWhenUsed="true"/>
    <w:lsdException w:name="Grid Table 3 Accent 5" w:uiPriority="48"/>
    <w:lsdException w:name="Grid Table 4 Accent 6" w:uiPriority="49"/>
    <w:lsdException w:name="Medium Grid 1 Accent 3" w:uiPriority="67"/>
    <w:lsdException w:name="Body Text First Indent 2" w:semiHidden="true" w:unhideWhenUsed="true"/>
    <w:lsdException w:name="Grid Table 5 Dark Accent 5" w:uiPriority="50"/>
    <w:lsdException w:name="Hyperlink" w:semiHidden="true" w:unhideWhenUsed="true"/>
    <w:lsdException w:name="List Table 1 Light Accent 6" w:uiPriority="46"/>
    <w:lsdException w:name="List Table 7 Colorful" w:uiPriority="52"/>
    <w:lsdException w:name="Table Colorful 1" w:semiHidden="true" w:unhideWhenUsed="true"/>
    <w:lsdException w:name="Medium List 2 Accent 5" w:uiPriority="66"/>
    <w:lsdException w:name="Table Subtle 1" w:semiHidden="true" w:unhideWhenUsed="true"/>
    <w:lsdException w:name="List Table 1 Light Accent 3" w:uiPriority="46"/>
    <w:lsdException w:name="List Table 6 Colorful" w:uiPriority="51"/>
    <w:lsdException w:name="Light Shading Accent 4" w:uiPriority="60"/>
    <w:lsdException w:name="Medium Grid 2 Accent 2" w:uiPriority="68"/>
    <w:lsdException w:name="Subtle Emphasis" w:uiPriority="19" w:qFormat="true"/>
    <w:lsdException w:name="Light List Accent 3" w:uiPriority="61"/>
    <w:lsdException w:name="List Table 3 Accent 5" w:uiPriority="48"/>
    <w:lsdException w:name="Strong" w:uiPriority="22" w:qFormat="true"/>
    <w:lsdException w:name="Table Classic 4" w:semiHidden="true" w:unhideWhenUsed="true"/>
    <w:lsdException w:name="List Bullet 4" w:semiHidden="true" w:unhideWhenUsed="true"/>
    <w:lsdException w:name="Intense Quote" w:uiPriority="30" w:qFormat="true"/>
    <w:lsdException w:name="List Table 4 Accent 5" w:uiPriority="49"/>
    <w:lsdException w:name="List Table 3 Accent 1" w:uiPriority="48"/>
    <w:lsdException w:name="HTML Definition" w:semiHidden="true" w:unhideWhenUsed="true"/>
    <w:lsdException w:name="Colorful Shading Accent 2" w:uiPriority="71"/>
    <w:lsdException w:name="table of figures" w:semiHidden="true" w:unhideWhenUsed="true"/>
    <w:lsdException w:name="Table List 7" w:semiHidden="true" w:unhideWhenUsed="true"/>
    <w:lsdException w:name="toc 5" w:uiPriority="39" w:semiHidden="true" w:unhideWhenUsed="true"/>
    <w:lsdException w:name="page number" w:semiHidden="true" w:unhideWhenUsed="true"/>
    <w:lsdException w:name="macro" w:semiHidden="true" w:unhideWhenUsed="true"/>
    <w:lsdException w:name="Medium List 1 Accent 2" w:uiPriority="65"/>
    <w:lsdException w:name="Grid Table 1 Light Accent 4" w:uiPriority="46"/>
    <w:lsdException w:name="heading 1" w:uiPriority="9" w:qFormat="true"/>
    <w:lsdException w:name="HTML Bottom of Form" w:semiHidden="true" w:unhideWhenUsed="true"/>
    <w:lsdException w:name="Table Grid 7" w:semiHidden="true" w:unhideWhenUsed="true"/>
    <w:lsdException w:name="Colorful Grid Accent 3" w:uiPriority="73"/>
    <w:lsdException w:name="Table Simple 3" w:semiHidden="true" w:unhideWhenUsed="true"/>
    <w:lsdException w:name="heading 7" w:uiPriority="9" w:semiHidden="true" w:unhideWhenUsed="true" w:qFormat="true"/>
    <w:lsdException w:name="index 7" w:semiHidden="true" w:unhideWhenUsed="true"/>
    <w:lsdException w:name="Colorful List" w:uiPriority="72"/>
    <w:lsdException w:name="List Table 7 Colorful Accent 4" w:uiPriority="52"/>
    <w:lsdException w:name="List" w:semiHidden="true" w:unhideWhenUsed="true"/>
    <w:lsdException w:name="Grid Table 2 Accent 3" w:uiPriority="47"/>
    <w:lsdException w:name="Colorful Grid Accent 5" w:uiPriority="73"/>
    <w:lsdException w:name="Light Grid Accent 1" w:uiPriority="62"/>
    <w:lsdException w:name="Date" w:semiHidden="true" w:unhideWhenUsed="true"/>
    <w:lsdException w:name="Table Web 2" w:semiHidden="true" w:unhideWhenUsed="true"/>
    <w:lsdException w:name="Medium List 1 Accent 3" w:uiPriority="65"/>
    <w:lsdException w:name="List Table 7 Colorful Accent 2" w:uiPriority="52"/>
    <w:lsdException w:name="List 3" w:semiHidden="true" w:unhideWhenUsed="true"/>
    <w:lsdException w:name="Medium Shading 2 Accent 3" w:uiPriority="64"/>
    <w:lsdException w:name="Table Simple 2" w:semiHidden="true" w:unhideWhenUsed="true"/>
    <w:lsdException w:name="Medium Grid 3 Accent 4" w:uiPriority="69"/>
    <w:lsdException w:name="Colorful Shading Accent 6" w:uiPriority="71"/>
    <w:lsdException w:name="Medium Shading 2 Accent 4" w:uiPriority="64"/>
    <w:lsdException w:name="Light Grid Accent 2" w:uiPriority="62"/>
    <w:lsdException w:name="Table Web 3" w:semiHidden="true" w:unhideWhenUsed="true"/>
    <w:lsdException w:name="Table 3D effects 2" w:semiHidden="true" w:unhideWhenUsed="true"/>
    <w:lsdException w:name="Table Grid 1" w:semiHidden="true" w:unhideWhenUsed="true"/>
    <w:lsdException w:name="Outline List 3" w:semiHidden="true" w:unhideWhenUsed="true"/>
    <w:lsdException w:name="Light List Accent 6" w:uiPriority="61"/>
    <w:lsdException w:name="Grid Table 2 Accent 4" w:uiPriority="47"/>
    <w:lsdException w:name="Table Columns 3" w:semiHidden="true" w:unhideWhenUsed="true"/>
    <w:lsdException w:name="heading 6" w:uiPriority="9" w:semiHidden="true" w:unhideWhenUsed="true" w:qFormat="true"/>
    <w:lsdException w:name="List Table 6 Colorful Accent 6" w:uiPriority="51"/>
    <w:lsdException w:name="Medium Grid 1 Accent 4" w:uiPriority="67"/>
    <w:lsdException w:name="Medium Grid 2 Accent 3" w:uiPriority="68"/>
    <w:lsdException w:name="Medium Shading 2 Accent 2" w:uiPriority="64"/>
    <w:lsdException w:name="Outline List 1" w:semiHidden="true" w:unhideWhenUsed="true"/>
    <w:lsdException w:name="Plain Table 1" w:uiPriority="41"/>
    <w:lsdException w:name="Grid Table 6 Colorful Accent 5" w:uiPriority="51"/>
    <w:lsdException w:name="Medium Grid 3" w:uiPriority="69"/>
    <w:lsdException w:name="Table Columns 4" w:semiHidden="true" w:unhideWhenUsed="true"/>
    <w:lsdException w:name="Colorful Shading Accent 4" w:uiPriority="71"/>
    <w:lsdException w:name="List Table 5 Dark Accent 1" w:uiPriority="50"/>
    <w:lsdException w:name="Body Text Indent" w:semiHidden="true" w:unhideWhenUsed="true"/>
    <w:lsdException w:name="toa heading" w:semiHidden="true" w:unhideWhenUsed="true"/>
    <w:lsdException w:name="Medium Grid 3 Accent 3" w:uiPriority="69"/>
    <w:lsdException w:name="Light Shading Accent 5" w:uiPriority="60"/>
    <w:lsdException w:name="Medium List 1 Accent 4" w:uiPriority="65"/>
    <w:lsdException w:name="Table Columns 2" w:semiHidden="true" w:unhideWhenUsed="true"/>
    <w:lsdException w:name="Colorful Shading Accent 3" w:uiPriority="71"/>
    <w:lsdException w:name="List Table 3 Accent 3" w:uiPriority="48"/>
    <w:lsdException w:name="Medium Shading 1 Accent 3" w:uiPriority="63"/>
    <w:lsdException w:name="List Table 1 Light Accent 1" w:uiPriority="46"/>
    <w:lsdException w:name="List Table 5 Dark Accent 6" w:uiPriority="50"/>
    <w:lsdException w:name="Table Grid 6" w:semiHidden="true" w:unhideWhenUsed="true"/>
    <w:lsdException w:name="List Continue 2" w:semiHidden="true" w:unhideWhenUsed="true"/>
    <w:lsdException w:name="Smart Link" w:semiHidden="true" w:unhideWhenUsed="true"/>
    <w:lsdException w:name="annotation reference" w:semiHidden="true" w:unhideWhenUsed="true"/>
    <w:lsdException w:name="Medium List 1 Accent 6" w:uiPriority="65"/>
    <w:lsdException w:name="FollowedHyperlink" w:semiHidden="true" w:unhideWhenUsed="true"/>
    <w:lsdException w:name="Body Text Indent 3" w:semiHidden="true" w:unhideWhenUsed="true"/>
    <w:lsdException w:name="Table Grid" w:uiPriority="39"/>
    <w:lsdException w:name="HTML Code" w:semiHidden="true" w:unhideWhenUsed="true"/>
    <w:lsdException w:name="header" w:semiHidden="true" w:unhideWhenUsed="true"/>
    <w:lsdException w:name="Grid Table 6 Colorful Accent 3" w:uiPriority="51"/>
    <w:lsdException w:name="Dark List Accent 4" w:uiPriority="70"/>
    <w:lsdException w:name="Block Text" w:semiHidden="true" w:unhideWhenUsed="true"/>
    <w:lsdException w:name="List 4" w:semiHidden="true" w:unhideWhenUsed="true"/>
    <w:lsdException w:name="Medium Grid 2 Accent 5" w:uiPriority="68"/>
    <w:lsdException w:name="No List" w:semiHidden="true" w:unhideWhenUsed="true"/>
    <w:lsdException w:name="Dark List Accent 6" w:uiPriority="70"/>
    <w:lsdException w:name="Colorful List Accent 4" w:uiPriority="72"/>
    <w:lsdException w:name="Grid Table 1 Light Accent 6" w:uiPriority="46"/>
    <w:lsdException w:name="Grid Table 6 Colorful Accent 2" w:uiPriority="51"/>
    <w:lsdException w:name="Grid Table 5 Dark" w:uiPriority="50"/>
    <w:lsdException w:name="Salutation" w:semiHidden="true" w:unhideWhenUsed="true"/>
    <w:lsdException w:name="heading 3" w:uiPriority="9" w:semiHidden="true" w:unhideWhenUsed="true" w:qFormat="true"/>
    <w:lsdException w:name="List Table 5 Dark Accent 5" w:uiPriority="50"/>
    <w:lsdException w:name="line number" w:semiHidden="true" w:unhideWhenUsed="true"/>
    <w:lsdException w:name="endnote text" w:semiHidden="true" w:unhideWhenUsed="true"/>
    <w:lsdException w:name="Grid Table Light" w:uiPriority="40"/>
    <w:lsdException w:name="HTML Preformatted" w:semiHidden="true" w:unhideWhenUsed="true"/>
    <w:lsdException w:name="Grid Table 3 Accent 6" w:uiPriority="48"/>
    <w:lsdException w:name="Body Text" w:semiHidden="true" w:unhideWhenUsed="true"/>
    <w:lsdException w:name="Medium Shading 1 Accent 6" w:uiPriority="63"/>
    <w:lsdException w:name="Light Shading Accent 1" w:uiPriority="60"/>
    <w:lsdException w:name="Table Elegant" w:semiHidden="true" w:unhideWhenUsed="true"/>
    <w:lsdException w:name="Table List 2" w:semiHidden="true" w:unhideWhenUsed="true"/>
    <w:lsdException w:name="endnote reference" w:semiHidden="true" w:unhideWhenUsed="true"/>
    <w:lsdException w:name="List Table 4 Accent 3" w:uiPriority="49"/>
    <w:lsdException w:name="Table Professional" w:semiHidden="true" w:unhideWhenUsed="true"/>
    <w:lsdException w:name="Grid Table 2 Accent 5" w:uiPriority="47"/>
    <w:lsdException w:name="Table 3D effects 1" w:semiHidden="true" w:unhideWhenUsed="true"/>
    <w:lsdException w:name="Mention" w:semiHidden="true" w:unhideWhenUsed="true"/>
    <w:lsdException w:name="List Table 1 Light" w:uiPriority="46"/>
    <w:lsdException w:name="Colorful List Accent 1" w:uiPriority="72"/>
    <w:lsdException w:name="Medium List 1 Accent 5" w:uiPriority="65"/>
    <w:lsdException w:name="List Table 2 Accent 5" w:uiPriority="47"/>
    <w:lsdException w:name="Light Grid" w:uiPriority="62"/>
    <w:lsdException w:name="Colorful Shading Accent 1" w:uiPriority="71"/>
    <w:lsdException w:name="List Table 2 Accent 3" w:uiPriority="47"/>
    <w:lsdException w:name="Grid Table 7 Colorful Accent 3" w:uiPriority="52"/>
    <w:lsdException w:name="Table Classic 2" w:semiHidden="true" w:unhideWhenUsed="true"/>
    <w:lsdException w:name="Table Grid 2" w:semiHidden="true" w:unhideWhenUsed="true"/>
    <w:lsdException w:name="Normal" w:uiPriority="0" w:qFormat="true"/>
    <w:lsdException w:name="Grid Table 7 Colorful Accent 6" w:uiPriority="52"/>
    <w:lsdException w:name="index 3" w:semiHidden="true" w:unhideWhenUsed="true"/>
    <w:lsdException w:name="Grid Table 1 Light Accent 2" w:uiPriority="46"/>
    <w:lsdException w:name="toc 9" w:uiPriority="39" w:semiHidden="true" w:unhideWhenUsed="true"/>
    <w:lsdException w:name="Medium Grid 3 Accent 2" w:uiPriority="69"/>
    <w:lsdException w:name="List Table 7 Colorful Accent 5" w:uiPriority="52"/>
    <w:lsdException w:name="Subtitle" w:uiPriority="11" w:qFormat="true"/>
    <w:lsdException w:name="Grid Table 3 Accent 4" w:uiPriority="48"/>
    <w:lsdException w:name="Closing" w:semiHidden="true" w:unhideWhenUsed="true"/>
    <w:lsdException w:name="Table List 8" w:semiHidden="true" w:unhideWhenUsed="true"/>
    <w:lsdException w:name="Medium Grid 1 Accent 6" w:uiPriority="67"/>
    <w:lsdException w:name="Grid Table 4 Accent 4" w:uiPriority="49"/>
    <w:lsdException w:name="Medium Shading 2 Accent 6" w:uiPriority="64"/>
    <w:lsdException w:name="Outline List 2" w:semiHidden="true" w:unhideWhenUsed="true"/>
    <w:lsdException w:name="Table Grid 8" w:semiHidden="true" w:unhideWhenUsed="true"/>
    <w:lsdException w:name="toc 6" w:uiPriority="39" w:semiHidden="true" w:unhideWhenUsed="true"/>
    <w:lsdException w:name="Dark List Accent 5" w:uiPriority="70"/>
    <w:lsdException w:name="Grid Table 3 Accent 3" w:uiPriority="48"/>
    <w:lsdException w:name="toc 1" w:uiPriority="39" w:semiHidden="true" w:unhideWhenUsed="true"/>
    <w:lsdException w:name="index heading" w:semiHidden="true" w:unhideWhenUsed="true"/>
    <w:lsdException w:name="TOC Heading" w:uiPriority="39" w:semiHidden="true" w:unhideWhenUsed="true" w:qFormat="true"/>
    <w:lsdException w:name="Medium Grid 2 Accent 1" w:uiPriority="68"/>
    <w:lsdException w:name="Medium Grid 3 Accent 5" w:uiPriority="69"/>
    <w:lsdException w:name="Medium Shading 1 Accent 1" w:uiPriority="63"/>
    <w:lsdException w:name="Grid Table 7 Colorful Accent 1" w:uiPriority="52"/>
    <w:lsdException w:name="Revision" w:semiHidden="true"/>
    <w:lsdException w:name="List Table 6 Colorful Accent 3" w:uiPriority="51"/>
    <w:lsdException w:name="Grid Table 4" w:uiPriority="49"/>
    <w:lsdException w:name="toc 7" w:uiPriority="39" w:semiHidden="true" w:unhideWhenUsed="true"/>
    <w:lsdException w:name="Grid Table 5 Dark Accent 6" w:uiPriority="50"/>
    <w:lsdException w:name="Light Grid Accent 3" w:uiPriority="62"/>
    <w:lsdException w:name="Table Grid 5" w:semiHidden="true" w:unhideWhenUsed="true"/>
    <w:lsdException w:name="Light Grid Accent 6" w:uiPriority="62"/>
    <w:lsdException w:name="Medium List 1 Accent 1" w:uiPriority="65"/>
    <w:lsdException w:name="Grid Table 7 Colorful Accent 4" w:uiPriority="52"/>
    <w:lsdException w:name="List Bullet" w:semiHidden="true" w:unhideWhenUsed="true"/>
    <w:lsdException w:name="List Paragraph" w:uiPriority="34" w:qFormat="true"/>
    <w:lsdException w:name="heading 5" w:uiPriority="9" w:semiHidden="true" w:unhideWhenUsed="true" w:qFormat="true"/>
    <w:lsdException w:name="Table List 3" w:semiHidden="true" w:unhideWhenUsed="true"/>
    <w:lsdException w:name="Plain Table 5" w:uiPriority="45"/>
    <w:lsdException w:name="Default Paragraph Font" w:uiPriority="1" w:semiHidden="true" w:unhideWhenUsed="true"/>
    <w:lsdException w:name="Grid Table 4 Accent 2" w:uiPriority="49"/>
    <w:lsdException w:name="Grid Table 4 Accent 3" w:uiPriority="49"/>
    <w:lsdException w:name="Dark List Accent 1" w:uiPriority="70"/>
    <w:lsdException w:name="List Table 4 Accent 6" w:uiPriority="49"/>
    <w:lsdException w:name="Grid Table 1 Light Accent 3" w:uiPriority="46"/>
    <w:lsdException w:name="Table Columns 1" w:semiHidden="true" w:unhideWhenUsed="true"/>
    <w:lsdException w:name="Grid Table 4 Accent 5" w:uiPriority="49"/>
    <w:lsdException w:name="Grid Table 2 Accent 2" w:uiPriority="47"/>
    <w:lsdException w:name="Colorful Grid" w:uiPriority="73"/>
    <w:lsdException w:name="List Table 3 Accent 4" w:uiPriority="48"/>
    <w:lsdException w:name="index 6" w:semiHidden="true" w:unhideWhenUsed="true"/>
    <w:lsdException w:name="List Table 6 Colorful Accent 2" w:uiPriority="51"/>
    <w:lsdException w:name="Table Theme" w:semiHidden="true" w:unhideWhenUsed="true"/>
    <w:lsdException w:name="Table Colorful 3" w:semiHidden="true" w:unhideWhenUsed="true"/>
    <w:lsdException w:name="Grid Table 5 Dark Accent 3" w:uiPriority="50"/>
    <w:lsdException w:name="List Continue 3" w:semiHidden="true" w:unhideWhenUsed="true"/>
    <w:lsdException w:name="List Number 4" w:semiHidden="true" w:unhideWhenUsed="true"/>
    <w:lsdException w:name="List Continue 5" w:semiHidden="true" w:unhideWhenUsed="true"/>
    <w:lsdException w:name="footer" w:semiHidden="true" w:unhideWhenUsed="true"/>
    <w:lsdException w:name="Colorful Grid Accent 6" w:uiPriority="73"/>
    <w:lsdException w:name="Plain Text" w:semiHidden="true" w:unhideWhenUsed="true"/>
    <w:lsdException w:name="Hashtag" w:semiHidden="true" w:unhideWhenUsed="true"/>
    <w:lsdException w:name="table of authorities" w:semiHidden="true" w:unhideWhenUsed="true"/>
    <w:lsdException w:name="Balloon Text" w:semiHidden="true" w:unhideWhenUsed="true"/>
    <w:lsdException w:name="Medium Shading 1 Accent 5" w:uiPriority="63"/>
    <w:lsdException w:name="Grid Table 3 Accent 1" w:uiPriority="48"/>
    <w:lsdException w:name="Medium Grid 2" w:uiPriority="68"/>
    <w:lsdException w:name="List Table 3 Accent 6" w:uiPriority="48"/>
    <w:lsdException w:name="Quote" w:uiPriority="29" w:qFormat="true"/>
    <w:lsdException w:name="Grid Table 7 Colorful Accent 5" w:uiPriority="52"/>
    <w:lsdException w:name="Dark List Accent 2" w:uiPriority="70"/>
    <w:lsdException w:name="Grid Table 6 Colorful" w:uiPriority="51"/>
    <w:lsdException w:name="List Bullet 2" w:semiHidden="true" w:unhideWhenUsed="true"/>
  </w:latentStyles>
  <w:style w:type="paragraph" w:styleId="000002">
    <w:name w:val="heading 1"/>
    <w:basedOn w:val="000001"/>
    <w:next w:val="000001"/>
    <w:uiPriority w:val="9"/>
    <w:qFormat/>
    <w:pPr>
      <w:keepNext/>
      <w:keepLines/>
      <w:spacing w:before="0" w:after="0" w:line="408" w:lineRule="auto"/>
      <w:outlineLvl w:val="0"/>
    </w:pPr>
    <w:rPr>
      <w:b/>
      <w:bCs/>
      <w:color w:val="1A1A1A"/>
      <w:sz w:val="36"/>
      <w:szCs w:val="36"/>
    </w:rPr>
  </w:style>
  <w:style w:type="paragraph" w:styleId="000001" w:default="true">
    <w:name w:val="Normal"/>
    <w:qFormat/>
    <w:pPr>
      <w:widowControl w:val="false"/>
    </w:pPr>
  </w:style>
  <w:style w:type="paragraph" w:styleId="000004">
    <w:name w:val="heading 3"/>
    <w:basedOn w:val="000001"/>
    <w:next w:val="000001"/>
    <w:uiPriority w:val="9"/>
    <w:semiHidden/>
    <w:unhideWhenUsed/>
    <w:qFormat/>
    <w:pPr>
      <w:keepNext/>
      <w:keepLines/>
      <w:spacing w:before="0" w:after="0" w:line="408" w:lineRule="auto"/>
      <w:outlineLvl w:val="2"/>
    </w:pPr>
    <w:rPr>
      <w:b/>
      <w:bCs/>
      <w:color w:val="1A1A1A"/>
      <w:sz w:val="28"/>
      <w:szCs w:val="28"/>
    </w:rPr>
  </w:style>
  <w:style w:type="character" w:styleId="000005" w:default="true">
    <w:name w:val="Default Paragraph Font"/>
    <w:uiPriority w:val="1"/>
    <w:semiHidden/>
    <w:unhideWhenUsed/>
  </w:style>
  <w:style w:type="paragraph" w:styleId="000009" w:customStyle="true">
    <w:name w:val="paragraph"/>
    <w:semiHidden/>
    <w:rsid w:val="009B5D99"/>
    <w:pPr>
      <w:snapToGrid/>
      <w:spacing w:before="100" w:beforeAutospacing="true" w:after="100" w:afterAutospacing="true" w:line="240" w:lineRule="auto"/>
    </w:pPr>
    <w:rPr>
      <w:rFonts w:ascii="DengXian" w:hAnsi="DengXian" w:eastAsia="DengXian" w:cs="Times New Roman"/>
      <w:color w:val="auto"/>
      <w:kern w:val="0"/>
      <w:sz w:val="24"/>
      <w:szCs w:val="24"/>
    </w:rPr>
  </w:style>
  <w:style w:type="paragraph" w:styleId="000003">
    <w:name w:val="heading 2"/>
    <w:basedOn w:val="000001"/>
    <w:next w:val="000001"/>
    <w:uiPriority w:val="9"/>
    <w:unhideWhenUsed/>
    <w:qFormat/>
    <w:pPr>
      <w:keepNext/>
      <w:keepLines/>
      <w:spacing w:before="0" w:after="0" w:line="408" w:lineRule="auto"/>
      <w:outlineLvl w:val="1"/>
    </w:pPr>
    <w:rPr>
      <w:b/>
      <w:bCs/>
      <w:color w:val="1A1A1A"/>
      <w:sz w:val="32"/>
      <w:szCs w:val="32"/>
    </w:rPr>
  </w:style>
  <w:style w:type="table" w:styleId="000006" w:default="true">
    <w:name w:val="Normal Table"/>
    <w:uiPriority w:val="99"/>
    <w:semiHidden/>
    <w:unhideWhenUsed/>
    <w:tblPr>
      <w:tblInd w:w="0" w:type="dxa"/>
      <w:tblCellMar>
        <w:top w:w="0" w:type="dxa"/>
        <w:left w:w="108" w:type="dxa"/>
        <w:bottom w:w="0" w:type="dxa"/>
        <w:right w:w="108" w:type="dxa"/>
      </w:tblCellMar>
    </w:tblPr>
  </w:style>
  <w:style w:type="numbering" w:styleId="000007" w:default="true">
    <w:name w:val="No List"/>
    <w:uiPriority w:val="99"/>
    <w:semiHidden/>
    <w:unhideWhenUsed/>
  </w:style>
  <w:style w:type="character" w:styleId="000008">
    <w:name w:val="Hyperlink"/>
    <w:basedOn w:val="000005"/>
    <w:uiPriority w:val="99"/>
    <w:unhideWhenUsed/>
    <w:rPr>
      <w:color w:val="467886" w:themeColor="hyperlink"/>
      <w:u w:val="single"/>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2026-03-27T22:47:34Z</dcterms:created>
  <dcterms:modified xsi:type="dcterms:W3CDTF">2026-03-27T22:47:34Z</dcterms:modified>
</cp:coreProperties>
</file>