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numPr/>
        <w:pBdr>
          <w:bottom/>
        </w:pBdr>
        <w:spacing w:before="80" w:after="80" w:line="600" w:lineRule="exact"/>
        <w:ind/>
        <w:jc w:val="center"/>
        <w:rPr>
          <w:rFonts w:hint="eastAsia" w:ascii="华文中宋" w:hAnsi="华文中宋" w:eastAsia="华文中宋" w:cs="华文中宋"/>
          <w:bCs/>
          <w:color w:val="333333"/>
          <w:sz w:val="44"/>
          <w:u w:val="none"/>
        </w:rPr>
      </w:pPr>
      <w:r>
        <w:rPr>
          <w:rFonts w:hint="eastAsia" w:ascii="华文中宋" w:hAnsi="华文中宋" w:eastAsia="华文中宋" w:cs="华文中宋"/>
          <w:bCs/>
          <w:color w:val="333333"/>
          <w:sz w:val="44"/>
          <w:u w:val="none"/>
        </w:rPr>
        <w:t>近期监管趋势（2025年9月以来）</w:t>
      </w:r>
    </w:p>
    <w:p>
      <w:pPr>
        <w:pStyle w:val="vqfom5"/>
        <w:pBdr/>
        <w:snapToGrid/>
        <w:spacing w:line="600" w:lineRule="exact"/>
        <w:ind/>
        <w:jc w:val="both"/>
        <w:rPr>
          <w:rFonts w:ascii="仿宋_GB2312" w:hAnsi="仿宋_GB2312" w:eastAsia="仿宋_GB2312" w:cs="仿宋_GB2312"/>
          <w:b/>
          <w:i w:val="false"/>
          <w:strike w:val="false"/>
          <w:color w:val="000000"/>
          <w:spacing w:val="0"/>
          <w:sz w:val="32"/>
          <w:u w:val="none"/>
        </w:rPr>
      </w:pPr>
    </w:p>
    <w:p>
      <w:pPr>
        <w:pStyle w:val="eukzao"/>
        <w:numPr>
          <w:ilvl w:val="0"/>
          <w:numId w:val="1"/>
        </w:numPr>
        <w:pBdr/>
        <w:rPr>
          <w:u w:val="none"/>
        </w:rPr>
      </w:pPr>
      <w:r>
        <w:rPr>
          <w:u w:val="none"/>
        </w:rPr>
        <w:t>网络内容治理</w:t>
      </w:r>
    </w:p>
    <w:p>
      <w:pPr>
        <w:pStyle w:val="ablt93"/>
        <w:rPr>
          <w:u w:val="none"/>
        </w:rPr>
      </w:pPr>
    </w:p>
    <w:p>
      <w:pPr>
        <w:numPr>
          <w:ilvl w:val="0"/>
          <w:numId w:val="2"/>
        </w:numPr>
        <w:pBdr>
          <w:bottom/>
        </w:pBdr>
        <w:snapToGrid/>
        <w:spacing w:line="600" w:lineRule="exact"/>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"清朗·整治恶意挑动负面情绪问题"专项行动</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时间</w:t>
      </w:r>
      <w:r>
        <w:rPr>
          <w:rFonts w:ascii="仿宋_GB2312" w:hAnsi="仿宋_GB2312" w:eastAsia="仿宋_GB2312" w:cs="仿宋_GB2312"/>
          <w:i w:val="false"/>
          <w:strike w:val="false"/>
          <w:color w:val="000000"/>
          <w:spacing w:val="0"/>
          <w:sz w:val="32"/>
          <w:u w:val="none"/>
        </w:rPr>
        <w:t>：2025年9月22日起，为期2个月</w:t>
      </w:r>
    </w:p>
    <w:p>
      <w:pP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重点整治内容</w:t>
      </w:r>
      <w:r>
        <w:rPr>
          <w:rFonts w:ascii="仿宋_GB2312" w:hAnsi="仿宋_GB2312" w:eastAsia="仿宋_GB2312" w:cs="仿宋_GB2312"/>
          <w:i w:val="false"/>
          <w:strike w:val="false"/>
          <w:color w:val="000000"/>
          <w:spacing w:val="0"/>
          <w:sz w:val="32"/>
          <w:u w:val="none"/>
        </w:rPr>
        <w:t>：</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i w:val="false"/>
          <w:strike w:val="false"/>
          <w:color w:val="000000"/>
          <w:spacing w:val="0"/>
          <w:sz w:val="32"/>
          <w:u w:val="none"/>
        </w:rPr>
        <w:t>挑动群体极端对立情绪：借社会热点事件强行关联身份、地域、性别等信息标签化炒作</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i w:val="false"/>
          <w:strike w:val="false"/>
          <w:color w:val="000000"/>
          <w:spacing w:val="0"/>
          <w:sz w:val="32"/>
          <w:u w:val="none"/>
        </w:rPr>
        <w:t>宣扬恐慌焦虑情绪：恶意虚构散布灾情、险情、警情等突发事件</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i w:val="false"/>
          <w:strike w:val="false"/>
          <w:color w:val="000000"/>
          <w:spacing w:val="0"/>
          <w:sz w:val="32"/>
          <w:u w:val="none"/>
        </w:rPr>
        <w:t>挑起网络暴力戾气：策划演绎打架斗殴等剧本，宣扬"以暴制暴"</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i w:val="false"/>
          <w:strike w:val="false"/>
          <w:color w:val="000000"/>
          <w:spacing w:val="0"/>
          <w:sz w:val="32"/>
          <w:u w:val="none"/>
        </w:rPr>
        <w:t>过度渲染消极悲观情绪：集中发布"努力无用论"等消极化论调</w:t>
      </w:r>
    </w:p>
    <w:p>
      <w:pPr>
        <w:pBdr>
          <w:bottom/>
        </w:pBdr>
        <w:snapToGrid/>
        <w:spacing w:line="600" w:lineRule="exact"/>
        <w:ind/>
        <w:jc w:val="both"/>
        <w:rPr>
          <w:rFonts w:ascii="仿宋_GB2312" w:hAnsi="仿宋_GB2312" w:eastAsia="仿宋_GB2312" w:cs="仿宋_GB2312"/>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汽车行业网络乱象专项整治</w:t>
      </w:r>
    </w:p>
    <w:p>
      <w:pPr>
        <w:pBdr>
          <w:bottom/>
        </w:pBdr>
        <w:snapToGrid/>
        <w:spacing w:line="600" w:lineRule="exact"/>
        <w:ind w:left="336"/>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fldChar w:fldCharType="begin"/>
      </w:r>
      <w:r>
        <w:rPr>
          <w:rFonts w:ascii="仿宋_GB2312" w:hAnsi="仿宋_GB2312" w:eastAsia="仿宋_GB2312" w:cs="仿宋_GB2312"/>
          <w:b/>
          <w:i w:val="false"/>
          <w:strike w:val="false"/>
          <w:color w:val="000000"/>
          <w:spacing w:val="0"/>
          <w:sz w:val="32"/>
          <w:u w:val="none"/>
        </w:rPr>
        <w:instrText>HYPERLINK https://mp.weixin.qq.com/s/In4S3yiaQkfMAaNrNSOl2A normalLink \tdfe -10 \tdlt inline \tdlf FromPaste \tdtf 1 \tdsub normalLink \tdkey bzlfjd</w:instrText>
      </w:r>
      <w:r>
        <w:rPr>
          <w:rFonts w:ascii="仿宋_GB2312" w:hAnsi="仿宋_GB2312" w:eastAsia="仿宋_GB2312" w:cs="仿宋_GB2312"/>
          <w:b/>
          <w:i w:val="false"/>
          <w:strike w:val="false"/>
          <w:color w:val="000000"/>
          <w:spacing w:val="0"/>
          <w:sz w:val="32"/>
          <w:u w:val="none"/>
        </w:rPr>
        <w:fldChar w:fldCharType="separate"/>
      </w:r>
      <w:r>
        <w:rPr>
          <w:rStyle w:val="r0xu64"/>
          <w:rFonts w:ascii="仿宋_GB2312" w:hAnsi="仿宋_GB2312" w:eastAsia="仿宋_GB2312" w:cs="仿宋_GB2312"/>
          <w:b/>
          <w:i w:val="false"/>
          <w:strike w:val="false"/>
          <w:color w:val="000000"/>
          <w:spacing w:val="0"/>
          <w:sz w:val="32"/>
          <w:u w:val="none"/>
        </w:rPr>
        <w:t>工业和信息化部等六部门联合部署开展汽车行业网络乱象专项整治行动</w:t>
      </w:r>
      <w:r>
        <w:rPr>
          <w:rFonts w:ascii="仿宋_GB2312" w:hAnsi="仿宋_GB2312" w:eastAsia="仿宋_GB2312" w:cs="仿宋_GB2312"/>
          <w:b/>
          <w:i w:val="false"/>
          <w:strike w:val="false"/>
          <w:color w:val="000000"/>
          <w:spacing w:val="0"/>
          <w:sz w:val="32"/>
          <w:u w:val="none"/>
        </w:rPr>
        <w:fldChar w:fldCharType="end"/>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时间</w:t>
      </w:r>
      <w:r>
        <w:rPr>
          <w:rFonts w:ascii="仿宋_GB2312" w:hAnsi="仿宋_GB2312" w:eastAsia="仿宋_GB2312" w:cs="仿宋_GB2312"/>
          <w:i w:val="false"/>
          <w:strike w:val="false"/>
          <w:color w:val="000000"/>
          <w:spacing w:val="0"/>
          <w:sz w:val="32"/>
          <w:u w:val="none"/>
        </w:rPr>
        <w:t>：2025年9月10日起，为期3个月</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参与部门</w:t>
      </w:r>
      <w:r>
        <w:rPr>
          <w:rFonts w:ascii="仿宋_GB2312" w:hAnsi="仿宋_GB2312" w:eastAsia="仿宋_GB2312" w:cs="仿宋_GB2312"/>
          <w:i w:val="false"/>
          <w:strike w:val="false"/>
          <w:color w:val="000000"/>
          <w:spacing w:val="0"/>
          <w:sz w:val="32"/>
          <w:u w:val="none"/>
        </w:rPr>
        <w:t>：工业和信息化部、中央社会工作部、中央网信办等六部门</w:t>
      </w:r>
    </w:p>
    <w:p>
      <w:pPr>
        <w:pBdr/>
        <w:snapToGrid/>
        <w:spacing w:line="600" w:lineRule="exact"/>
        <w:ind/>
        <w:jc w:val="both"/>
        <w:rPr>
          <w:rFonts w:ascii="仿宋_GB2312" w:hAnsi="仿宋_GB2312" w:eastAsia="仿宋_GB2312" w:cs="仿宋_GB2312"/>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重点整治</w:t>
      </w:r>
      <w:r>
        <w:rPr>
          <w:rFonts w:ascii="仿宋_GB2312" w:hAnsi="仿宋_GB2312" w:eastAsia="仿宋_GB2312" w:cs="仿宋_GB2312"/>
          <w:i w:val="false"/>
          <w:strike w:val="false"/>
          <w:color w:val="000000"/>
          <w:spacing w:val="0"/>
          <w:sz w:val="32"/>
          <w:u w:val="none"/>
        </w:rPr>
        <w:t>：非法牟利、夸大虚假宣传、恶意诋毁攻击等网络乱象</w:t>
      </w:r>
    </w:p>
    <w:p>
      <w:pPr>
        <w:pBdr>
          <w:bottom/>
        </w:pBdr>
        <w:snapToGrid/>
        <w:spacing w:line="600" w:lineRule="exact"/>
        <w:ind/>
        <w:jc w:val="both"/>
        <w:rPr>
          <w:rFonts w:ascii="仿宋_GB2312" w:hAnsi="仿宋_GB2312" w:eastAsia="仿宋_GB2312" w:cs="仿宋_GB2312"/>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网络直播打赏乱象整治</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时间</w:t>
      </w:r>
      <w:r>
        <w:rPr>
          <w:rFonts w:ascii="仿宋_GB2312" w:hAnsi="仿宋_GB2312" w:eastAsia="仿宋_GB2312" w:cs="仿宋_GB2312"/>
          <w:i w:val="false"/>
          <w:strike w:val="false"/>
          <w:color w:val="000000"/>
          <w:spacing w:val="0"/>
          <w:sz w:val="32"/>
          <w:u w:val="none"/>
        </w:rPr>
        <w:t>：2025年10月启动，为期2个月</w:t>
      </w:r>
    </w:p>
    <w:p>
      <w:pPr>
        <w:pBdr/>
        <w:snapToGrid/>
        <w:spacing w:line="600" w:lineRule="exact"/>
        <w:ind/>
        <w:jc w:val="both"/>
        <w:rPr>
          <w:rFonts w:ascii="仿宋_GB2312" w:hAnsi="仿宋_GB2312" w:eastAsia="仿宋_GB2312" w:cs="仿宋_GB2312"/>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重点整治</w:t>
      </w:r>
      <w:r>
        <w:rPr>
          <w:rFonts w:ascii="仿宋_GB2312" w:hAnsi="仿宋_GB2312" w:eastAsia="仿宋_GB2312" w:cs="仿宋_GB2312"/>
          <w:i w:val="false"/>
          <w:strike w:val="false"/>
          <w:color w:val="000000"/>
          <w:spacing w:val="0"/>
          <w:sz w:val="32"/>
          <w:u w:val="none"/>
        </w:rPr>
        <w:t>：低俗团播引诱打赏、虚假人设诱骗打赏、诱导未成年人打赏、刺激用户非理性打赏等问题</w:t>
      </w:r>
    </w:p>
    <w:p>
      <w:pPr>
        <w:pBdr/>
        <w:snapToGrid/>
        <w:spacing w:line="600" w:lineRule="exact"/>
        <w:ind/>
        <w:jc w:val="both"/>
        <w:rPr>
          <w:rFonts w:ascii="仿宋_GB2312" w:hAnsi="仿宋_GB2312" w:eastAsia="仿宋_GB2312" w:cs="仿宋_GB2312"/>
          <w:i w:val="false"/>
          <w:strike w:val="false"/>
          <w:color w:val="000000"/>
          <w:spacing w:val="0"/>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监管要求限韩令从严执行</w:t>
      </w:r>
    </w:p>
    <w:p>
      <w:pPr>
        <w:numPr/>
        <w:pBdr/>
        <w:snapToGrid/>
        <w:spacing w:before="0" w:after="0" w:line="600" w:lineRule="exact"/>
        <w:ind/>
        <w:jc w:val="both"/>
        <w:rPr>
          <w:rFonts w:hint="eastAsia" w:ascii="仿宋_GB2312" w:hAnsi="仿宋_GB2312" w:eastAsia="仿宋_GB2312" w:cs="仿宋_GB2312"/>
          <w:bCs/>
          <w:color w:val="333333"/>
          <w:sz w:val="32"/>
          <w:u w:val="none"/>
        </w:rPr>
      </w:pPr>
      <w:r>
        <w:rPr>
          <w:rFonts w:hint="eastAsia" w:ascii="仿宋_GB2312" w:hAnsi="仿宋_GB2312" w:eastAsia="仿宋_GB2312" w:cs="仿宋_GB2312"/>
          <w:bCs/>
          <w:color w:val="333333"/>
          <w:sz w:val="32"/>
          <w:u w:val="none"/>
        </w:rPr>
        <w:t>近期有两个批示要求严防韩流渗透。文旅部市场司提出，后续涉韩艺人国内演出将不再审批，督促平台收紧首页首屏榜单等重点位置，避免形成热点，引发舆情。另外本周</w:t>
      </w:r>
      <w:r>
        <w:rPr>
          <w:rFonts w:ascii="仿宋_GB2312" w:hAnsi="仿宋_GB2312" w:eastAsia="仿宋_GB2312" w:cs="仿宋_GB2312"/>
          <w:bCs/>
          <w:color w:val="333333"/>
          <w:sz w:val="32"/>
          <w:u w:val="none"/>
        </w:rPr>
        <w:t>ZXB</w:t>
      </w:r>
      <w:r>
        <w:rPr>
          <w:rFonts w:hint="eastAsia" w:ascii="仿宋_GB2312" w:hAnsi="仿宋_GB2312" w:eastAsia="仿宋_GB2312" w:cs="仿宋_GB2312"/>
          <w:bCs/>
          <w:color w:val="333333"/>
          <w:sz w:val="32"/>
          <w:u w:val="none"/>
        </w:rPr>
        <w:t>文艺局组织专题会议，文旅、广电、网信、电影、出版、外交部等部门参会，要求针对韩国影视剧和演出从严管理。文内将拉通各部门要求对产品进行提醒。</w:t>
      </w:r>
    </w:p>
    <w:p>
      <w:pPr>
        <w:pBdr/>
        <w:snapToGrid/>
        <w:spacing w:line="600" w:lineRule="exact"/>
        <w:ind/>
        <w:jc w:val="both"/>
        <w:rPr>
          <w:rFonts w:ascii="仿宋_GB2312" w:hAnsi="仿宋_GB2312" w:eastAsia="仿宋_GB2312" w:cs="仿宋_GB2312"/>
          <w:i w:val="false"/>
          <w:strike w:val="false"/>
          <w:color w:val="000000"/>
          <w:spacing w:val="0"/>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文旅部召开脱口秀演出管理工作座谈会</w:t>
      </w:r>
    </w:p>
    <w:p>
      <w:pPr>
        <w:pStyle w:val="ablt93"/>
        <w:numPr/>
        <w:pBdr/>
        <w:snapToGrid/>
        <w:spacing w:line="600" w:lineRule="exact"/>
        <w:ind/>
        <w:jc w:val="both"/>
        <w:rPr>
          <w:rFonts w:ascii="仿宋_GB2312" w:hAnsi="仿宋_GB2312" w:eastAsia="仿宋_GB2312" w:cs="仿宋_GB2312"/>
          <w:i w:val="false"/>
          <w:strike w:val="false"/>
          <w:color w:val="333333"/>
          <w:sz w:val="32"/>
          <w:u w:val="none"/>
        </w:rPr>
      </w:pPr>
      <w:r>
        <w:rPr>
          <w:rFonts w:ascii="仿宋_GB2312" w:hAnsi="仿宋_GB2312" w:eastAsia="仿宋_GB2312" w:cs="仿宋_GB2312"/>
          <w:i w:val="false"/>
          <w:strike w:val="false"/>
          <w:color w:val="333333"/>
          <w:sz w:val="32"/>
          <w:u w:val="none"/>
        </w:rPr>
        <w:t>背景是领导对浙宣“脱口秀挑动男女对立”舆情的关注批示。各方交流认为问题主要在二次传播环节，营销号断章取义、博流量行为对行业造成伤害。监管认可脱口秀的社会价值，线下演出和演员角度会加强管理，但暂无收严线上内容的想法，也提醒企业加强演员管理与内容审核、舆论引导。</w:t>
      </w:r>
    </w:p>
    <w:p>
      <w:pPr>
        <w:pBdr/>
        <w:snapToGrid/>
        <w:spacing w:line="600" w:lineRule="exact"/>
        <w:ind/>
        <w:jc w:val="both"/>
        <w:rPr>
          <w:rFonts w:ascii="仿宋_GB2312" w:hAnsi="仿宋_GB2312" w:eastAsia="仿宋_GB2312" w:cs="仿宋_GB2312"/>
          <w:i w:val="false"/>
          <w:strike w:val="false"/>
          <w:color w:val="000000"/>
          <w:spacing w:val="0"/>
          <w:sz w:val="32"/>
          <w:u w:val="none"/>
        </w:rPr>
      </w:pPr>
    </w:p>
    <w:p>
      <w:pPr>
        <w:pStyle w:val="eukzao"/>
        <w:numPr>
          <w:ilvl w:val="0"/>
          <w:numId w:val="1"/>
        </w:numPr>
        <w:pBdr/>
        <w:ind/>
        <w:rPr>
          <w:u w:val="none"/>
        </w:rPr>
      </w:pPr>
      <w:r>
        <w:rPr>
          <w:u w:val="none"/>
        </w:rPr>
        <w:t>相关管理规定</w:t>
      </w: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网络安全事件报告管理办法</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发布时间</w:t>
      </w:r>
      <w:r>
        <w:rPr>
          <w:rFonts w:ascii="仿宋_GB2312" w:hAnsi="仿宋_GB2312" w:eastAsia="仿宋_GB2312" w:cs="仿宋_GB2312"/>
          <w:i w:val="false"/>
          <w:strike w:val="false"/>
          <w:color w:val="000000"/>
          <w:spacing w:val="0"/>
          <w:sz w:val="32"/>
          <w:u w:val="none"/>
        </w:rPr>
        <w:t>：2025年9月15日</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内容</w:t>
      </w:r>
      <w:r>
        <w:rPr>
          <w:rFonts w:ascii="仿宋_GB2312" w:hAnsi="仿宋_GB2312" w:eastAsia="仿宋_GB2312" w:cs="仿宋_GB2312"/>
          <w:i w:val="false"/>
          <w:strike w:val="false"/>
          <w:color w:val="000000"/>
          <w:spacing w:val="0"/>
          <w:sz w:val="32"/>
          <w:u w:val="none"/>
        </w:rPr>
        <w:t>：规范网络安全事件报告流程，明确报告主体、时限和要求</w:t>
      </w:r>
    </w:p>
    <w:p>
      <w:pPr>
        <w:pBdr/>
        <w:snapToGrid/>
        <w:spacing w:line="600" w:lineRule="exact"/>
        <w:ind/>
        <w:jc w:val="both"/>
        <w:rPr>
          <w:rFonts w:ascii="仿宋_GB2312" w:hAnsi="仿宋_GB2312" w:eastAsia="仿宋_GB2312" w:cs="仿宋_GB2312"/>
          <w:b/>
          <w:i w:val="false"/>
          <w:strike w:val="false"/>
          <w:color w:val="000000"/>
          <w:spacing w:val="0"/>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《大型网络平台认定指南》研讨会召开</w:t>
      </w:r>
    </w:p>
    <w:p>
      <w:pPr>
        <w:pBdr/>
        <w:snapToGrid/>
        <w:spacing w:line="600" w:lineRule="exact"/>
        <w:ind/>
        <w:jc w:val="both"/>
        <w:rPr>
          <w:rFonts w:hint="eastAsia" w:ascii="仿宋_GB2312" w:hAnsi="仿宋_GB2312" w:eastAsia="仿宋_GB2312" w:cs="仿宋_GB2312"/>
          <w:bCs/>
          <w:color w:val="333333"/>
          <w:sz w:val="32"/>
          <w:u w:val="none"/>
        </w:rPr>
      </w:pPr>
      <w:r>
        <w:rPr>
          <w:rFonts w:hint="eastAsia" w:ascii="仿宋_GB2312" w:hAnsi="仿宋_GB2312" w:eastAsia="仿宋_GB2312" w:cs="仿宋_GB2312"/>
          <w:bCs/>
          <w:color w:val="333333"/>
          <w:sz w:val="32"/>
          <w:u w:val="none"/>
        </w:rPr>
        <w:t>根据指南标准，5000万注册或1000万月活+业务复杂并对国家安全、国计民生等产生重要影响的平台将被纳入。据此，公司大部分APP将落入认定范围，产品合规成本将增加，包括设立个保监督委员会、个保负责人等。目前策略是分级分类、剔除文体娱乐等领域产品服务，力争限缩适用范围。文内拉通研究院、数隐、法务等研讨反馈意见。</w:t>
      </w:r>
    </w:p>
    <w:p>
      <w:pPr>
        <w:pBdr/>
        <w:snapToGrid/>
        <w:spacing w:line="600" w:lineRule="exact"/>
        <w:ind/>
        <w:jc w:val="both"/>
        <w:rPr>
          <w:rFonts w:ascii="仿宋_GB2312" w:hAnsi="仿宋_GB2312" w:eastAsia="仿宋_GB2312" w:cs="仿宋_GB2312"/>
          <w:b/>
          <w:i w:val="false"/>
          <w:strike w:val="false"/>
          <w:color w:val="000000"/>
          <w:spacing w:val="0"/>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大型网络平台个人信息保护监督委员会规定</w:t>
      </w:r>
    </w:p>
    <w:p>
      <w:pPr>
        <w:pBdr>
          <w:bottom/>
        </w:pBdr>
        <w:snapToGrid/>
        <w:spacing w:line="600" w:lineRule="exact"/>
        <w:ind/>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000000"/>
          <w:spacing w:val="0"/>
          <w:sz w:val="32"/>
          <w:u w:val="none"/>
        </w:rPr>
        <w:t>时间</w:t>
      </w:r>
      <w:r>
        <w:rPr>
          <w:rFonts w:ascii="仿宋_GB2312" w:hAnsi="仿宋_GB2312" w:eastAsia="仿宋_GB2312" w:cs="仿宋_GB2312"/>
          <w:i w:val="false"/>
          <w:strike w:val="false"/>
          <w:color w:val="000000"/>
          <w:spacing w:val="0"/>
          <w:sz w:val="32"/>
          <w:u w:val="none"/>
        </w:rPr>
        <w:t>：2025年9月12日征求意见</w:t>
      </w:r>
    </w:p>
    <w:p>
      <w:pPr>
        <w:pBdr/>
        <w:snapToGrid/>
        <w:spacing w:line="600" w:lineRule="exact"/>
        <w:ind/>
        <w:jc w:val="both"/>
        <w:rPr>
          <w:rFonts w:ascii="仿宋_GB2312" w:hAnsi="仿宋_GB2312" w:eastAsia="仿宋_GB2312" w:cs="仿宋_GB2312"/>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内容</w:t>
      </w:r>
      <w:r>
        <w:rPr>
          <w:rFonts w:ascii="仿宋_GB2312" w:hAnsi="仿宋_GB2312" w:eastAsia="仿宋_GB2312" w:cs="仿宋_GB2312"/>
          <w:i w:val="false"/>
          <w:strike w:val="false"/>
          <w:color w:val="000000"/>
          <w:spacing w:val="0"/>
          <w:sz w:val="32"/>
          <w:u w:val="none"/>
        </w:rPr>
        <w:t>：要求大型网络平台设立个人信息保护监督委员会</w:t>
      </w:r>
    </w:p>
    <w:p>
      <w:pPr>
        <w:pBdr/>
        <w:snapToGrid/>
        <w:spacing w:line="600" w:lineRule="exact"/>
        <w:ind/>
        <w:jc w:val="both"/>
        <w:rPr>
          <w:rFonts w:ascii="仿宋_GB2312" w:hAnsi="仿宋_GB2312" w:eastAsia="仿宋_GB2312" w:cs="仿宋_GB2312"/>
          <w:i w:val="false"/>
          <w:strike w:val="false"/>
          <w:color w:val="000000"/>
          <w:spacing w:val="0"/>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WXB将印发网站平台“自媒体”专业资质认证管理要求</w:t>
      </w:r>
    </w:p>
    <w:p>
      <w:pPr>
        <w:numPr/>
        <w:pBdr/>
        <w:snapToGrid/>
        <w:spacing w:before="0" w:after="0" w:line="600" w:lineRule="exact"/>
        <w:ind/>
        <w:jc w:val="both"/>
        <w:rPr>
          <w:rFonts w:ascii="仿宋_GB2312" w:hAnsi="仿宋_GB2312" w:eastAsia="仿宋_GB2312" w:cs="仿宋_GB2312"/>
          <w:i w:val="false"/>
          <w:strike w:val="false"/>
          <w:color w:val="333333"/>
          <w:sz w:val="32"/>
          <w:u w:val="none"/>
        </w:rPr>
      </w:pPr>
      <w:r>
        <w:rPr>
          <w:rFonts w:ascii="仿宋_GB2312" w:hAnsi="仿宋_GB2312" w:eastAsia="仿宋_GB2312" w:cs="仿宋_GB2312"/>
          <w:i w:val="false"/>
          <w:strike w:val="false"/>
          <w:color w:val="333333"/>
          <w:sz w:val="32"/>
          <w:u w:val="none"/>
        </w:rPr>
        <w:t>据悉网站平台“自媒体”专业资质认证管理要求近期将印发，预计不会公开发布。要求核心包括“认证类型”“材料要求”“外显要求”等环节。</w:t>
      </w:r>
    </w:p>
    <w:p>
      <w:pPr>
        <w:numPr/>
        <w:pBdr/>
        <w:snapToGrid/>
        <w:spacing w:before="0" w:after="0" w:line="600" w:lineRule="exact"/>
        <w:ind/>
        <w:jc w:val="both"/>
        <w:rPr>
          <w:rFonts w:ascii="仿宋_GB2312" w:hAnsi="仿宋_GB2312" w:eastAsia="仿宋_GB2312" w:cs="仿宋_GB2312"/>
          <w:i w:val="false"/>
          <w:strike w:val="false"/>
          <w:color w:val="333333"/>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WXB进一步强化对平台自媒体功能和资质管理</w:t>
      </w:r>
    </w:p>
    <w:p>
      <w:pPr>
        <w:numPr/>
        <w:snapToGrid/>
        <w:spacing w:before="0" w:after="0" w:line="600" w:lineRule="exact"/>
        <w:ind/>
        <w:jc w:val="both"/>
        <w:rPr>
          <w:rFonts w:ascii="仿宋_GB2312" w:hAnsi="仿宋_GB2312" w:eastAsia="仿宋_GB2312" w:cs="仿宋_GB2312"/>
          <w:sz w:val="32"/>
          <w:u w:val="none"/>
        </w:rPr>
      </w:pPr>
      <w:r>
        <w:rPr>
          <w:rFonts w:hint="eastAsia" w:ascii="仿宋_GB2312" w:hAnsi="仿宋_GB2312" w:eastAsia="仿宋_GB2312" w:cs="仿宋_GB2312"/>
          <w:bCs/>
          <w:color w:val="333333"/>
          <w:sz w:val="32"/>
          <w:u w:val="none"/>
        </w:rPr>
        <w:t>一是要求头部平台9月21日完成信息来源标注调整；二是启动自媒体涉医疗科普行为巡查取证；三是对《自媒体专业资质认证管理要求》征求意见，拟以内部通知形式印发。团队将推动要求落实，从法律合规角度对《要求》提供建议。</w:t>
      </w:r>
    </w:p>
    <w:p>
      <w:pPr>
        <w:numPr/>
        <w:pBdr/>
        <w:snapToGrid/>
        <w:spacing w:before="80" w:after="80" w:line="600" w:lineRule="exact"/>
        <w:ind/>
        <w:jc w:val="both"/>
        <w:rPr>
          <w:rFonts w:hint="eastAsia" w:ascii="仿宋_GB2312" w:hAnsi="仿宋_GB2312" w:eastAsia="仿宋_GB2312" w:cs="仿宋_GB2312"/>
          <w:b/>
          <w:bCs/>
          <w:color w:val="333333"/>
          <w:sz w:val="32"/>
          <w:szCs w:val="28"/>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w</w:t>
      </w:r>
      <w:r>
        <w:rPr>
          <w:rFonts w:ascii="仿宋_GB2312" w:hAnsi="仿宋_GB2312" w:eastAsia="仿宋_GB2312" w:cs="仿宋_GB2312"/>
          <w:b/>
          <w:i w:val="false"/>
          <w:strike w:val="false"/>
          <w:color w:val="000000"/>
          <w:spacing w:val="0"/>
          <w:sz w:val="32"/>
          <w:u w:val="none"/>
        </w:rPr>
        <w:t>x</w:t>
      </w:r>
      <w:r>
        <w:rPr>
          <w:rFonts w:ascii="仿宋_GB2312" w:hAnsi="仿宋_GB2312" w:eastAsia="仿宋_GB2312" w:cs="仿宋_GB2312"/>
          <w:b/>
          <w:i w:val="false"/>
          <w:strike w:val="false"/>
          <w:color w:val="000000"/>
          <w:spacing w:val="0"/>
          <w:sz w:val="32"/>
          <w:u w:val="none"/>
        </w:rPr>
        <w:t>b</w:t>
      </w:r>
      <w:r>
        <w:rPr>
          <w:rFonts w:ascii="仿宋_GB2312" w:hAnsi="仿宋_GB2312" w:eastAsia="仿宋_GB2312" w:cs="仿宋_GB2312"/>
          <w:b/>
          <w:i w:val="false"/>
          <w:strike w:val="false"/>
          <w:color w:val="000000"/>
          <w:spacing w:val="0"/>
          <w:sz w:val="32"/>
          <w:u w:val="none"/>
        </w:rPr>
        <w:t>综治局拟制定“短视频平台”管理国家标准</w:t>
      </w:r>
    </w:p>
    <w:p>
      <w:pPr>
        <w:numPr/>
        <w:snapToGrid/>
        <w:spacing w:before="0" w:after="0" w:line="600" w:lineRule="exact"/>
        <w:ind/>
        <w:jc w:val="both"/>
        <w:rPr>
          <w:rFonts w:ascii="仿宋_GB2312" w:hAnsi="仿宋_GB2312" w:eastAsia="仿宋_GB2312" w:cs="仿宋_GB2312"/>
          <w:b w:val="false"/>
          <w:bCs/>
          <w:color w:val="333333"/>
          <w:sz w:val="32"/>
          <w:u w:val="none"/>
        </w:rPr>
      </w:pPr>
      <w:r>
        <w:rPr>
          <w:rFonts w:ascii="仿宋_GB2312" w:hAnsi="仿宋_GB2312" w:eastAsia="仿宋_GB2312" w:cs="仿宋_GB2312"/>
          <w:b w:val="false"/>
          <w:i w:val="false"/>
          <w:strike w:val="false"/>
          <w:color w:val="333333"/>
          <w:spacing w:val="0"/>
          <w:sz w:val="32"/>
          <w:u w:val="none"/>
        </w:rPr>
        <w:t>预计明年年初立项，目的是要求平台担负管理及技术治理职责，实现用户自主可控、内容生产合法合规的良性生态。近期委托中标院对腾讯、抖音做调研了解。文内PA将联动标准团队、研究院做好支持和反馈，同时动态跟进后续进程。</w:t>
      </w:r>
    </w:p>
    <w:p>
      <w:pPr>
        <w:numPr/>
        <w:pBdr>
          <w:bottom/>
        </w:pBdr>
        <w:snapToGrid/>
        <w:spacing w:before="80" w:after="80" w:line="600" w:lineRule="exact"/>
        <w:ind/>
        <w:jc w:val="both"/>
        <w:rPr>
          <w:rFonts w:hint="eastAsia" w:ascii="仿宋_GB2312" w:hAnsi="仿宋_GB2312" w:eastAsia="仿宋_GB2312" w:cs="仿宋_GB2312"/>
          <w:bCs/>
          <w:color w:val="333333"/>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WXB未成年人网络平台服务提供者认定办法征求意见</w:t>
      </w:r>
    </w:p>
    <w:p>
      <w:pPr>
        <w:numPr/>
        <w:pBdr/>
        <w:snapToGrid/>
        <w:spacing w:before="0" w:after="0" w:line="600" w:lineRule="exact"/>
        <w:ind/>
        <w:jc w:val="both"/>
        <w:rPr>
          <w:rFonts w:hint="eastAsia" w:ascii="仿宋_GB2312" w:hAnsi="仿宋_GB2312" w:eastAsia="仿宋_GB2312" w:cs="仿宋_GB2312"/>
          <w:bCs/>
          <w:color w:val="333333"/>
          <w:sz w:val="32"/>
          <w:u w:val="none"/>
        </w:rPr>
      </w:pPr>
      <w:r>
        <w:rPr>
          <w:rFonts w:hint="eastAsia" w:ascii="仿宋_GB2312" w:hAnsi="仿宋_GB2312" w:eastAsia="仿宋_GB2312" w:cs="仿宋_GB2312"/>
          <w:bCs/>
          <w:color w:val="333333"/>
          <w:sz w:val="32"/>
          <w:u w:val="none"/>
        </w:rPr>
        <w:t>若被认定为相关网络平台服务提供者，需按未保条例履行网络影响评估、提供未成年人模式、成立未保独立监督机构等6项额外义务。目前，监管的纳入标准没有区分是否是内容平台，对游戏等传统非平台型产品而言，列入后会加重合规压力。</w:t>
      </w:r>
    </w:p>
    <w:p>
      <w:pPr>
        <w:numPr/>
        <w:snapToGrid/>
        <w:spacing w:before="0" w:after="0" w:line="600" w:lineRule="exact"/>
        <w:ind/>
        <w:jc w:val="both"/>
        <w:rPr>
          <w:rFonts w:ascii="仿宋_GB2312" w:hAnsi="仿宋_GB2312" w:eastAsia="仿宋_GB2312" w:cs="仿宋_GB2312"/>
          <w:sz w:val="32"/>
          <w:u w:val="none"/>
        </w:rPr>
      </w:pPr>
    </w:p>
    <w:p>
      <w:pPr>
        <w:numPr>
          <w:ilvl w:val="0"/>
          <w:numId w:val="2"/>
        </w:numPr>
        <w:pBdr>
          <w:bottom/>
        </w:pBdr>
        <w:snapToGrid/>
        <w:spacing w:line="600" w:lineRule="exact"/>
        <w:ind/>
        <w:jc w:val="both"/>
        <w:rPr>
          <w:rFonts w:ascii="仿宋_GB2312" w:hAnsi="仿宋_GB2312" w:eastAsia="仿宋_GB2312" w:cs="仿宋_GB2312"/>
          <w:b/>
          <w:i w:val="false"/>
          <w:strike w:val="false"/>
          <w:color w:val="000000"/>
          <w:spacing w:val="0"/>
          <w:sz w:val="32"/>
          <w:u w:val="none"/>
        </w:rPr>
      </w:pPr>
      <w:r>
        <w:rPr>
          <w:rFonts w:ascii="仿宋_GB2312" w:hAnsi="仿宋_GB2312" w:eastAsia="仿宋_GB2312" w:cs="仿宋_GB2312"/>
          <w:b/>
          <w:i w:val="false"/>
          <w:strike w:val="false"/>
          <w:color w:val="000000"/>
          <w:spacing w:val="0"/>
          <w:sz w:val="32"/>
          <w:u w:val="none"/>
        </w:rPr>
        <w:t>“信息来源标注”功能调整</w:t>
      </w:r>
    </w:p>
    <w:p>
      <w:pPr>
        <w:numPr/>
        <w:pBdr/>
        <w:snapToGrid/>
        <w:spacing w:before="80" w:after="80" w:line="600" w:lineRule="exact"/>
        <w:ind/>
        <w:jc w:val="both"/>
        <w:rPr>
          <w:rFonts w:hint="eastAsia" w:ascii="仿宋_GB2312" w:hAnsi="仿宋_GB2312" w:eastAsia="仿宋_GB2312" w:cs="仿宋_GB2312"/>
          <w:bCs/>
          <w:color w:val="333333"/>
          <w:sz w:val="32"/>
          <w:u w:val="none"/>
        </w:rPr>
      </w:pPr>
      <w:r>
        <w:rPr>
          <w:rFonts w:hint="eastAsia" w:ascii="仿宋_GB2312" w:hAnsi="仿宋_GB2312" w:eastAsia="仿宋_GB2312" w:cs="仿宋_GB2312"/>
          <w:bCs/>
          <w:color w:val="333333"/>
          <w:sz w:val="32"/>
          <w:u w:val="none"/>
        </w:rPr>
        <w:t>监管要求微信公众号、视频号、腾讯企鹅号发表内容时，把信息来源标注作为必选项。相当于用户发表前多一个步骤，</w:t>
      </w:r>
      <w:r>
        <w:rPr>
          <w:rFonts w:hint="eastAsia" w:ascii="仿宋_GB2312" w:hAnsi="仿宋_GB2312" w:eastAsia="仿宋_GB2312" w:cs="仿宋_GB2312"/>
          <w:b w:val="false"/>
          <w:color w:val="333333"/>
          <w:sz w:val="32"/>
          <w:u w:val="none"/>
        </w:rPr>
        <w:t>预计对整体发表量有明显影响</w:t>
      </w:r>
      <w:r>
        <w:rPr>
          <w:rFonts w:hint="eastAsia" w:ascii="仿宋_GB2312" w:hAnsi="仿宋_GB2312" w:eastAsia="仿宋_GB2312" w:cs="仿宋_GB2312"/>
          <w:bCs/>
          <w:color w:val="333333"/>
          <w:sz w:val="32"/>
          <w:u w:val="none"/>
        </w:rPr>
        <w:t>。这对微信来说是</w:t>
      </w:r>
      <w:r>
        <w:rPr>
          <w:rFonts w:hint="eastAsia" w:ascii="仿宋_GB2312" w:hAnsi="仿宋_GB2312" w:eastAsia="仿宋_GB2312" w:cs="仿宋_GB2312"/>
          <w:bCs/>
          <w:color w:val="333333"/>
          <w:sz w:val="32"/>
          <w:u w:val="none"/>
        </w:rPr>
        <w:t>较</w:t>
      </w:r>
      <w:r>
        <w:rPr>
          <w:rFonts w:hint="eastAsia" w:ascii="仿宋_GB2312" w:hAnsi="仿宋_GB2312" w:eastAsia="仿宋_GB2312" w:cs="仿宋_GB2312"/>
          <w:bCs/>
          <w:color w:val="333333"/>
          <w:sz w:val="32"/>
          <w:u w:val="none"/>
        </w:rPr>
        <w:t>为</w:t>
      </w:r>
      <w:r>
        <w:rPr>
          <w:rFonts w:hint="eastAsia" w:ascii="仿宋_GB2312" w:hAnsi="仿宋_GB2312" w:eastAsia="仿宋_GB2312" w:cs="仿宋_GB2312"/>
          <w:bCs/>
          <w:color w:val="333333"/>
          <w:sz w:val="32"/>
          <w:u w:val="none"/>
        </w:rPr>
        <w:t>重大的功能调整。监管要求全平台统一对齐，9月21号上线。</w:t>
      </w:r>
    </w:p>
    <w:p>
      <w:pPr>
        <w:numPr/>
        <w:pBdr>
          <w:bottom/>
        </w:pBdr>
        <w:snapToGrid/>
        <w:spacing w:before="80" w:after="80" w:line="600" w:lineRule="exact"/>
        <w:ind/>
        <w:jc w:val="both"/>
        <w:rPr>
          <w:rFonts w:hint="eastAsia" w:ascii="仿宋_GB2312" w:hAnsi="仿宋_GB2312" w:eastAsia="仿宋_GB2312" w:cs="仿宋_GB2312"/>
          <w:b/>
          <w:bCs/>
          <w:color w:val="333333"/>
          <w:sz w:val="32"/>
          <w:szCs w:val="28"/>
          <w:u w:val="none"/>
        </w:rPr>
      </w:pPr>
    </w:p>
    <w:p>
      <w:pPr>
        <w:pStyle w:val="eukzao"/>
        <w:numPr>
          <w:ilvl w:val="0"/>
          <w:numId w:val="1"/>
        </w:numPr>
        <w:pBdr/>
        <w:ind/>
        <w:rPr>
          <w:u w:val="none"/>
        </w:rPr>
      </w:pPr>
      <w:r>
        <w:rPr>
          <w:u w:val="none"/>
        </w:rPr>
        <w:t>重点问题</w:t>
      </w:r>
    </w:p>
    <w:p>
      <w:pPr>
        <w:numPr>
          <w:ilvl w:val="0"/>
          <w:numId w:val="3"/>
        </w:numPr>
        <w:snapToGrid/>
        <w:spacing w:line="600" w:lineRule="exact"/>
        <w:jc w:val="both"/>
        <w:rPr>
          <w:rFonts w:ascii="仿宋_GB2312" w:hAnsi="仿宋_GB2312" w:eastAsia="仿宋_GB2312" w:cs="仿宋_GB2312"/>
          <w:color w:val="333333"/>
          <w:sz w:val="32"/>
          <w:u w:val="none"/>
        </w:rPr>
      </w:pPr>
      <w:r>
        <w:rPr>
          <w:rFonts w:ascii="仿宋_GB2312" w:hAnsi="仿宋_GB2312" w:eastAsia="仿宋_GB2312" w:cs="仿宋_GB2312"/>
          <w:b/>
          <w:i w:val="false"/>
          <w:strike w:val="false"/>
          <w:color w:val="333333"/>
          <w:spacing w:val="0"/>
          <w:sz w:val="32"/>
          <w:u w:val="none"/>
        </w:rPr>
        <w:t>第二批关基单位主体进展</w:t>
      </w:r>
    </w:p>
    <w:p>
      <w:pPr>
        <w:numPr/>
        <w:pBdr>
          <w:bottom/>
        </w:pBdr>
        <w:snapToGrid/>
        <w:spacing w:before="0" w:after="0" w:line="600" w:lineRule="exact"/>
        <w:ind/>
        <w:jc w:val="both"/>
        <w:rPr>
          <w:rFonts w:ascii="仿宋_GB2312" w:hAnsi="仿宋_GB2312" w:eastAsia="仿宋_GB2312" w:cs="仿宋_GB2312"/>
          <w:b w:val="false"/>
          <w:i w:val="false"/>
          <w:strike w:val="false"/>
          <w:color w:val="333333"/>
          <w:spacing w:val="0"/>
          <w:sz w:val="32"/>
          <w:u w:val="none"/>
        </w:rPr>
      </w:pPr>
      <w:r>
        <w:rPr>
          <w:rFonts w:ascii="仿宋_GB2312" w:hAnsi="仿宋_GB2312" w:eastAsia="仿宋_GB2312" w:cs="仿宋_GB2312"/>
          <w:b w:val="false"/>
          <w:i w:val="false"/>
          <w:strike w:val="false"/>
          <w:color w:val="333333"/>
          <w:spacing w:val="0"/>
          <w:sz w:val="32"/>
          <w:u w:val="none"/>
        </w:rPr>
        <w:t>央办已向各保护部门收集汇总第二批关基主体单位的信息，要求向网信委正式上报审批。预计一周内签批。文内将继续保持跟进，及时掌握最新进展和下步工作部署。此外，已同步启动向产品传递合规要求，提前做好边界和资产梳理等工作。</w:t>
      </w:r>
    </w:p>
    <w:p>
      <w:pPr>
        <w:numPr/>
        <w:pBdr/>
        <w:snapToGrid/>
        <w:spacing w:before="0" w:after="0" w:line="600" w:lineRule="exact"/>
        <w:ind/>
        <w:jc w:val="both"/>
        <w:rPr>
          <w:rFonts w:ascii="仿宋_GB2312" w:hAnsi="仿宋_GB2312" w:eastAsia="仿宋_GB2312" w:cs="仿宋_GB2312"/>
          <w:b/>
          <w:i w:val="false"/>
          <w:strike w:val="false"/>
          <w:color w:val="333333"/>
          <w:sz w:val="32"/>
          <w:u w:val="none"/>
        </w:rPr>
      </w:pPr>
    </w:p>
    <w:p>
      <w:pPr>
        <w:numPr>
          <w:ilvl w:val="0"/>
          <w:numId w:val="3"/>
        </w:numPr>
        <w:snapToGrid/>
        <w:spacing w:line="600" w:lineRule="exact"/>
        <w:ind/>
        <w:jc w:val="both"/>
        <w:rPr>
          <w:rFonts w:ascii="仿宋_GB2312" w:hAnsi="仿宋_GB2312" w:eastAsia="仿宋_GB2312" w:cs="仿宋_GB2312"/>
          <w:b/>
          <w:i w:val="false"/>
          <w:strike w:val="false"/>
          <w:color w:val="333333"/>
          <w:spacing w:val="0"/>
          <w:sz w:val="32"/>
          <w:u w:val="none"/>
        </w:rPr>
      </w:pPr>
      <w:r>
        <w:rPr>
          <w:rFonts w:ascii="仿宋_GB2312" w:hAnsi="仿宋_GB2312" w:eastAsia="仿宋_GB2312" w:cs="仿宋_GB2312"/>
          <w:b/>
          <w:i w:val="false"/>
          <w:strike w:val="false"/>
          <w:color w:val="333333"/>
          <w:spacing w:val="0"/>
          <w:sz w:val="32"/>
          <w:u w:val="none"/>
        </w:rPr>
        <w:t>WXB加强互联网企业廉洁建设相关工作</w:t>
      </w:r>
    </w:p>
    <w:p>
      <w:pPr>
        <w:numPr/>
        <w:pBdr/>
        <w:snapToGrid/>
        <w:spacing w:line="600" w:lineRule="exact"/>
        <w:ind/>
        <w:jc w:val="both"/>
        <w:rPr>
          <w:rFonts w:ascii="仿宋_GB2312" w:hAnsi="仿宋_GB2312" w:eastAsia="仿宋_GB2312" w:cs="仿宋_GB2312"/>
          <w:i w:val="false"/>
          <w:strike w:val="false"/>
          <w:color w:val="333333"/>
          <w:sz w:val="32"/>
          <w:u w:val="none"/>
        </w:rPr>
      </w:pPr>
      <w:r>
        <w:rPr>
          <w:rFonts w:ascii="仿宋_GB2312" w:hAnsi="仿宋_GB2312" w:eastAsia="仿宋_GB2312" w:cs="仿宋_GB2312"/>
          <w:i w:val="false"/>
          <w:strike w:val="false"/>
          <w:color w:val="333333"/>
          <w:sz w:val="32"/>
          <w:u w:val="none"/>
        </w:rPr>
        <w:t>因高层对互联网企业新型腐败问题有批示，WXB持续推进落实相关工作：一是10月23日面向40家主要互联网企业相关工作负责人举办“廉洁建设线下培训班”；二是由综治局和网络教育中心举办“廉洁建设网络专题培训班”，要求40家互联网企业的2.52万员工在11月30日前完成线上培训，分配给腾讯3000人、搜狗100人的培训指标；三是综治局指导中网联出台《互联网企业内部腐败治理参考指引（征求意见稿）》，拟征求完行业意见后做为行业指引发布。</w:t>
      </w:r>
    </w:p>
    <w:p>
      <w:pPr>
        <w:numPr/>
        <w:pBdr/>
        <w:snapToGrid/>
        <w:spacing w:before="0" w:after="0" w:line="600" w:lineRule="exact"/>
        <w:ind/>
        <w:jc w:val="both"/>
        <w:rPr>
          <w:rFonts w:hint="eastAsia" w:ascii="仿宋_GB2312" w:hAnsi="仿宋_GB2312" w:eastAsia="仿宋_GB2312" w:cs="仿宋_GB2312"/>
          <w:b/>
          <w:sz w:val="32"/>
          <w:u w:val="none"/>
        </w:rPr>
      </w:pPr>
    </w:p>
    <w:p>
      <w:pPr>
        <w:numPr>
          <w:ilvl w:val="0"/>
          <w:numId w:val="4"/>
        </w:numPr>
        <w:snapToGrid/>
        <w:spacing w:before="0" w:after="0" w:line="600" w:lineRule="exact"/>
        <w:jc w:val="both"/>
        <w:rPr>
          <w:rFonts w:hint="eastAsia" w:ascii="仿宋_GB2312" w:hAnsi="仿宋_GB2312" w:eastAsia="仿宋_GB2312" w:cs="仿宋_GB2312"/>
          <w:b/>
          <w:sz w:val="32"/>
          <w:u w:val="none"/>
        </w:rPr>
      </w:pPr>
      <w:r>
        <w:rPr>
          <w:rFonts w:hint="eastAsia" w:ascii="仿宋_GB2312" w:hAnsi="仿宋_GB2312" w:eastAsia="仿宋_GB2312" w:cs="仿宋_GB2312"/>
          <w:b/>
          <w:sz w:val="32"/>
          <w:u w:val="none"/>
        </w:rPr>
        <w:t>综治局关于超大平台批示调研工作</w:t>
      </w:r>
    </w:p>
    <w:p>
      <w:pPr>
        <w:numPr/>
        <w:snapToGrid/>
        <w:spacing w:before="0" w:after="0" w:line="600" w:lineRule="exact"/>
        <w:ind/>
        <w:jc w:val="both"/>
        <w:rPr>
          <w:rFonts w:hint="eastAsia" w:ascii="仿宋_GB2312" w:hAnsi="仿宋_GB2312" w:eastAsia="仿宋_GB2312" w:cs="仿宋_GB2312"/>
          <w:bCs/>
          <w:color w:val="000000"/>
          <w:sz w:val="32"/>
          <w:u w:val="none"/>
        </w:rPr>
      </w:pPr>
      <w:r>
        <w:rPr>
          <w:rFonts w:hint="eastAsia" w:ascii="仿宋_GB2312" w:hAnsi="仿宋_GB2312" w:eastAsia="仿宋_GB2312" w:cs="仿宋_GB2312"/>
          <w:bCs/>
          <w:color w:val="000000"/>
          <w:sz w:val="32"/>
          <w:u w:val="none"/>
        </w:rPr>
        <w:t>近期，综治局开展关于“平台舆论生态调研问卷”工作，内容涵盖七类机制管理，包括机制建设、话题榜单设置、算法应用、人工智能技术使用、审核数据统计、典型案例分析及参股持股账号情况等。据了解，此次调研有中央领导批示背景，涉及平台包括抖音、快手、微博及小红书。现阶段，整体应对原则充分体现平台在监管指导下所落实的各项管理工作，确保稳妥回应调研要求。</w:t>
      </w:r>
    </w:p>
    <w:p>
      <w:pPr>
        <w:pStyle w:val="ablt93"/>
        <w:numPr/>
        <w:pBdr/>
        <w:snapToGrid/>
        <w:spacing w:line="600" w:lineRule="exact"/>
        <w:ind/>
        <w:jc w:val="both"/>
        <w:rPr>
          <w:rFonts w:ascii="仿宋_GB2312" w:hAnsi="仿宋_GB2312" w:eastAsia="仿宋_GB2312" w:cs="仿宋_GB2312"/>
          <w:sz w:val="32"/>
          <w:u w:val="none"/>
        </w:rPr>
      </w:pPr>
    </w:p>
    <w:p>
      <w:pPr>
        <w:numPr>
          <w:ilvl w:val="0"/>
          <w:numId w:val="5"/>
        </w:numPr>
        <w:snapToGrid/>
        <w:spacing w:before="0" w:after="0" w:line="600" w:lineRule="exact"/>
        <w:jc w:val="both"/>
        <w:rPr>
          <w:rFonts w:hint="eastAsia" w:ascii="仿宋_GB2312" w:hAnsi="仿宋_GB2312" w:eastAsia="仿宋_GB2312" w:cs="仿宋_GB2312"/>
          <w:b/>
          <w:bCs/>
          <w:color w:val="000000"/>
          <w:sz w:val="32"/>
          <w:u w:val="none"/>
        </w:rPr>
      </w:pPr>
      <w:r>
        <w:rPr>
          <w:rFonts w:hint="eastAsia" w:ascii="仿宋_GB2312" w:hAnsi="仿宋_GB2312" w:eastAsia="仿宋_GB2312" w:cs="仿宋_GB2312"/>
          <w:b/>
          <w:bCs/>
          <w:color w:val="000000"/>
          <w:sz w:val="32"/>
          <w:u w:val="none"/>
        </w:rPr>
        <w:t xml:space="preserve">公司AI标识工作稳妥落地 </w:t>
      </w:r>
    </w:p>
    <w:p>
      <w:pPr>
        <w:pStyle w:val="ablt93"/>
        <w:numPr/>
        <w:pBdr/>
        <w:snapToGrid/>
        <w:spacing w:line="600" w:lineRule="exact"/>
        <w:ind/>
        <w:jc w:val="both"/>
        <w:rPr>
          <w:rFonts w:hint="eastAsia" w:ascii="仿宋_GB2312" w:hAnsi="仿宋_GB2312" w:eastAsia="仿宋_GB2312" w:cs="仿宋_GB2312"/>
          <w:bCs/>
          <w:color w:val="000000"/>
          <w:sz w:val="32"/>
          <w:u w:val="none"/>
        </w:rPr>
      </w:pPr>
      <w:r>
        <w:rPr>
          <w:rFonts w:hint="eastAsia" w:ascii="仿宋_GB2312" w:hAnsi="仿宋_GB2312" w:eastAsia="仿宋_GB2312" w:cs="仿宋_GB2312"/>
          <w:bCs/>
          <w:color w:val="000000"/>
          <w:sz w:val="32"/>
          <w:u w:val="none"/>
        </w:rPr>
        <w:t>团队有效化解部分产品延期上线风险，总体落实情况良好，获得监管充分肯定。同时公司及微信、元宝、腾讯新闻等先后向外发布公告，传递公司落实标识工作态度，给予用户提示和帮助。此外，先后报送多期报告主动营销。九三专项期间，监管已下发结合标识做内容治理的要求，技术管理和内容管理结合趋势更加明显。同时，Ai标识工作也转入落实效果检测阶段，目前已出现友商因落实不力被约谈情况。团队将密切关注并及时跟进。</w:t>
      </w:r>
    </w:p>
    <w:p>
      <w:pPr>
        <w:numPr/>
        <w:pBdr/>
        <w:snapToGrid/>
        <w:spacing w:before="0" w:after="0" w:line="600" w:lineRule="exact"/>
        <w:ind/>
        <w:jc w:val="both"/>
        <w:rPr>
          <w:rFonts w:ascii="仿宋_GB2312" w:hAnsi="仿宋_GB2312" w:eastAsia="仿宋_GB2312" w:cs="仿宋_GB2312"/>
          <w:sz w:val="32"/>
          <w:u w:val="none"/>
        </w:rPr>
      </w:pPr>
    </w:p>
    <w:p>
      <w:pPr>
        <w:pStyle w:val="eukzao"/>
        <w:numPr/>
        <w:pBdr>
          <w:bottom/>
        </w:pBdr>
        <w:ind/>
        <w:rPr>
          <w:bCs/>
          <w:u w:val="none"/>
        </w:rPr>
      </w:pPr>
      <w:r>
        <w:rPr>
          <w:bCs/>
          <w:u w:val="none"/>
        </w:rPr>
        <w:t>四、约稿与其他关注</w:t>
      </w:r>
    </w:p>
    <w:p>
      <w:pPr>
        <w:numPr>
          <w:ilvl w:val="0"/>
          <w:numId w:val="6"/>
        </w:numPr>
        <w:snapToGrid/>
        <w:spacing w:before="0" w:after="0" w:line="600" w:lineRule="exact"/>
        <w:jc w:val="both"/>
        <w:rPr>
          <w:rFonts w:ascii="仿宋_GB2312" w:hAnsi="仿宋_GB2312" w:eastAsia="仿宋_GB2312" w:cs="仿宋_GB2312"/>
          <w:sz w:val="32"/>
          <w:u w:val="none"/>
        </w:rPr>
      </w:pPr>
      <w:r>
        <w:rPr>
          <w:rFonts w:ascii="仿宋_GB2312" w:hAnsi="仿宋_GB2312" w:eastAsia="仿宋_GB2312" w:cs="仿宋_GB2312"/>
          <w:b/>
          <w:i w:val="false"/>
          <w:strike w:val="false"/>
          <w:color w:val="333333"/>
          <w:sz w:val="32"/>
          <w:u w:val="none"/>
        </w:rPr>
        <w:t>甲方关注“AI泡沫风险”论</w:t>
      </w:r>
    </w:p>
    <w:p>
      <w:pPr>
        <w:numPr/>
        <w:pBdr/>
        <w:snapToGrid/>
        <w:spacing w:before="0" w:after="0" w:line="600" w:lineRule="exact"/>
        <w:ind/>
        <w:jc w:val="both"/>
        <w:rPr>
          <w:rFonts w:ascii="仿宋_GB2312" w:hAnsi="仿宋_GB2312" w:eastAsia="仿宋_GB2312" w:cs="仿宋_GB2312"/>
          <w:i w:val="false"/>
          <w:strike w:val="false"/>
          <w:color w:val="auto"/>
          <w:sz w:val="32"/>
          <w:u w:val="none"/>
        </w:rPr>
      </w:pPr>
      <w:r>
        <w:rPr>
          <w:rFonts w:ascii="仿宋_GB2312" w:hAnsi="仿宋_GB2312" w:eastAsia="仿宋_GB2312" w:cs="仿宋_GB2312"/>
          <w:i w:val="false"/>
          <w:strike w:val="false"/>
          <w:color w:val="333333"/>
          <w:sz w:val="32"/>
          <w:u w:val="none"/>
        </w:rPr>
        <w:t>近期国内外“AI泡沫论”持续发酵，“”AI泡沫酝酿资本市场系统性风险”“只有少数科技企业受益”等论调引甲方关注。ZXB等就该主题约稿，希望结合“十五五”规划提出建议，并在四中全会前为上级领导提供参考。团队传递历史上科技进步都伴随一定泡沫，呼吁理性看待。</w:t>
      </w:r>
      <w:r>
        <w:rPr>
          <w:rFonts w:ascii="仿宋_GB2312" w:hAnsi="仿宋_GB2312" w:eastAsia="仿宋_GB2312" w:cs="仿宋_GB2312"/>
          <w:i w:val="false"/>
          <w:strike w:val="false"/>
          <w:color w:val="auto"/>
          <w:sz w:val="32"/>
          <w:u w:val="none"/>
        </w:rPr>
        <w:t xml:space="preserve"> </w:t>
      </w:r>
    </w:p>
    <w:p>
      <w:pPr>
        <w:numPr/>
        <w:pBdr/>
        <w:snapToGrid/>
        <w:spacing w:before="0" w:after="0" w:line="600" w:lineRule="exact"/>
        <w:ind/>
        <w:jc w:val="both"/>
        <w:rPr>
          <w:rFonts w:hint="eastAsia" w:ascii="仿宋_GB2312" w:hAnsi="仿宋_GB2312" w:eastAsia="仿宋_GB2312" w:cs="仿宋_GB2312"/>
          <w:bCs/>
          <w:color w:val="333333"/>
          <w:sz w:val="32"/>
          <w:u w:val="none"/>
        </w:rPr>
      </w:pPr>
    </w:p>
    <w:p>
      <w:pPr>
        <w:pBdr/>
        <w:snapToGrid/>
        <w:spacing w:line="600" w:lineRule="exact"/>
        <w:ind/>
        <w:jc w:val="both"/>
        <w:rPr>
          <w:rFonts w:ascii="仿宋_GB2312" w:hAnsi="仿宋_GB2312" w:eastAsia="仿宋_GB2312" w:cs="仿宋_GB2312"/>
          <w:i w:val="false"/>
          <w:strike w:val="false"/>
          <w:color w:val="000000"/>
          <w:spacing w:val="0"/>
          <w:sz w:val="32"/>
          <w:u w:val="none"/>
        </w:rPr>
      </w:pPr>
    </w:p>
    <w:p>
      <w:pPr>
        <w:pStyle w:val="ablt93"/>
        <w:spacing w:line="600" w:lineRule="exact"/>
        <w:ind/>
        <w:jc w:val="both"/>
        <w:rPr>
          <w:rFonts w:ascii="仿宋_GB2312" w:hAnsi="仿宋_GB2312" w:eastAsia="仿宋_GB2312" w:cs="仿宋_GB2312"/>
          <w:sz w:val="32"/>
          <w:u w:val="none"/>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2">
    <w:lvl w:ilvl="1">
      <w:start w:val="1"/>
      <w:numFmt w:val="decimal"/>
      <w:lvlText w:val="%2、"/>
      <w:lvlJc w:val="left"/>
      <w:pPr>
        <w:ind w:left="776" w:hanging="336"/>
      </w:pPr>
    </w:lvl>
    <w:lvl w:ilvl="0">
      <w:start w:val="1"/>
      <w:numFmt w:val="chineseCountingThousand"/>
      <w:lvlText w:val="%1、"/>
      <w:lvlJc w:val="left"/>
      <w:pPr>
        <w:ind w:left="462" w:hanging="462"/>
      </w:pPr>
      <w:rPr/>
    </w:lvl>
    <w:lvl w:ilvl="4">
      <w:start w:val="1"/>
      <w:numFmt w:val="decimal"/>
      <w:lvlText w:val="%5、"/>
      <w:lvlJc w:val="left"/>
      <w:pPr>
        <w:ind w:left="2096" w:hanging="336"/>
      </w:pPr>
    </w:lvl>
    <w:lvl w:ilvl="2">
      <w:start w:val="1"/>
      <w:numFmt w:val="lowerLetter"/>
      <w:lvlText w:val="%3)"/>
      <w:lvlJc w:val="left"/>
      <w:pPr>
        <w:ind w:left="1216" w:hanging="336"/>
      </w:pPr>
    </w:lvl>
    <w:lvl w:ilvl="5">
      <w:start w:val="1"/>
      <w:numFmt w:val="lowerLetter"/>
      <w:lvlText w:val="%6)"/>
      <w:lvlJc w:val="left"/>
      <w:pPr>
        <w:ind w:left="253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6">
      <w:start w:val="1"/>
      <w:numFmt w:val="chineseCountingThousand"/>
      <w:lvlText w:val="%7、"/>
      <w:lvlJc w:val="left"/>
      <w:pPr>
        <w:ind w:left="3102" w:hanging="462"/>
      </w:pPr>
    </w:lvl>
    <w:lvl w:ilvl="8">
      <w:start w:val="1"/>
      <w:numFmt w:val="lowerLetter"/>
      <w:lvlText w:val="%9)"/>
      <w:lvlJc w:val="left"/>
      <w:pPr>
        <w:ind w:left="3856" w:hanging="336"/>
      </w:pPr>
    </w:lvl>
  </w:abstractNum>
  <w:abstractNum w:abstractNumId="3">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5">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num w:numId="4">
    <w:abstractNumId w:val="5"/>
  </w:num>
  <w:num w:numId="5">
    <w:abstractNumId w:val="3"/>
  </w:num>
  <w:num w:numId="1">
    <w:abstractNumId w:val="2"/>
  </w:num>
  <w:num w:numId="3">
    <w:abstractNumId w:val="1"/>
  </w:num>
  <w:num w:numId="2">
    <w:abstractNumId w:val="6"/>
  </w:num>
  <w:num w:numId="6">
    <w:abstractNumId w:val="4"/>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0"/>
    <w:compatSetting w:name="enableOpenTypeFeatures"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vqfom5">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snxc2k">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paragraph" w:styleId="kft91e">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z5eyw0">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9fpatq" w:default="true">
    <w:name w:val="Default Paragraph Font"/>
    <w:basedOn w:val=""/>
    <w:next w:val=""/>
    <w:uiPriority w:val="1"/>
    <w:semiHidden/>
    <w:unhideWhenUsed/>
  </w:style>
  <w:style w:type="paragraph" w:styleId="zmfyks">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r0xu64">
    <w:name w:val="Hyperlink"/>
    <w:basedOn w:val="9fpatq"/>
    <w:next w:val=""/>
    <w:uiPriority w:val="99"/>
    <w:unhideWhenUsed/>
    <w:rPr>
      <w:color w:val="1E6FFF" w:themeColor="hyperlink"/>
      <w:u w:val="single"/>
    </w:rPr>
  </w:style>
  <w:style w:type="paragraph" w:styleId="eukzao">
    <w:name w:val="heading 1"/>
    <w:basedOn w:val="ablt93"/>
    <w:next w:val="ablt93"/>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3"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2025-11-19T09:33:11Z</dcterms:created>
  <dcterms:modified xsi:type="dcterms:W3CDTF">2025-11-19T09:33:11Z</dcterms:modified>
</cp:coreProperties>
</file>