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Bdr>
          <w:bottom/>
        </w:pBdr>
        <w:snapToGrid/>
        <w:spacing w:before="60" w:after="60" w:line="560" w:lineRule="exact"/>
        <w:ind w:left="0" w:right="0"/>
        <w:jc w:val="center"/>
        <w:rPr>
          <w:rFonts w:ascii="仿宋_GB2312" w:hAnsi="仿宋_GB2312" w:eastAsia="仿宋_GB2312" w:cs="仿宋_GB2312"/>
          <w:b/>
          <w:i w:val="false"/>
          <w:strike w:val="false"/>
          <w:color w:val="333333"/>
          <w:sz w:val="40"/>
          <w:u w:val="none"/>
        </w:rPr>
      </w:pPr>
      <w:r>
        <w:rPr>
          <w:rFonts w:hint="eastAsia" w:ascii="仿宋_GB2312" w:hAnsi="仿宋_GB2312" w:eastAsia="仿宋_GB2312" w:cs="仿宋_GB2312"/>
          <w:b/>
          <w:i w:val="false"/>
          <w:strike w:val="false"/>
          <w:color w:val="333333"/>
          <w:sz w:val="32"/>
          <w:u w:val="none"/>
        </w:rPr>
        <w:t>双月会</w:t>
      </w:r>
      <w:r>
        <w:rPr>
          <w:rFonts w:hint="eastAsia" w:ascii="仿宋_GB2312" w:hAnsi="仿宋_GB2312" w:eastAsia="仿宋_GB2312" w:cs="仿宋_GB2312"/>
          <w:b/>
          <w:i w:val="false"/>
          <w:strike w:val="false"/>
          <w:color w:val="333333"/>
          <w:sz w:val="32"/>
          <w:u w:val="none"/>
        </w:rPr>
        <w:t>材料</w:t>
      </w:r>
      <w:r>
        <w:rPr>
          <w:rFonts w:hint="eastAsia" w:ascii="仿宋_GB2312" w:hAnsi="仿宋_GB2312" w:eastAsia="仿宋_GB2312" w:cs="仿宋_GB2312"/>
          <w:b/>
          <w:i w:val="false"/>
          <w:strike w:val="false"/>
          <w:color w:val="333333"/>
          <w:sz w:val="32"/>
          <w:u w:val="none"/>
        </w:rPr>
        <w:t xml:space="preserve"> 202601</w:t>
      </w:r>
    </w:p>
    <w:p>
      <w:pPr>
        <w:pStyle w:val="sfujuv"/>
        <w:numPr>
          <w:ilvl w:val="0"/>
          <w:numId w:val="1"/>
        </w:numPr>
        <w:pBdr>
          <w:bottom/>
        </w:pBdr>
        <w:ind/>
        <w:rPr/>
      </w:pPr>
      <w:r>
        <w:rPr/>
        <w:t>内容安全专项检查与治理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稳妥应对WXB 2025年清朗“回头看”检查</w:t>
      </w:r>
    </w:p>
    <w:p>
      <w:pPr>
        <w:numPr/>
        <w:pBdr/>
        <w:snapToGrid/>
        <w:spacing w:before="60" w:after="60" w:line="560" w:lineRule="exact"/>
        <w:ind w:left="0" w:righ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>清朗回头看检查是综治局每年年底重点工作，2025年对腾讯、抖音、快手、微博、小红书、百度、B站共7家开展检查，甲方提前搜集问题线索，对专项开展、工作落实、审核系统、指令落实等进行检查。12月30-31日，WXB检查组到腾讯广州大厦开展检查。安全六部门及相关产品、技术同学近100人协同应对，作为第一家受检单位，此次检查整体顺利。针对未保、AI生成违规信息、群组管理、假冒仿冒、低俗等问题有一定压力，存在处罚风险，后续网信办还会反馈检查问题清单，团队将做好跟进，避免系统性风险和处罚。下一步，团队将围绕2026年清朗专项和甲方重点关注问题，做好动态跟踪，提前获取信息，支撑产品发展。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启动 “AI魔改”视频专项治理工作</w:t>
      </w:r>
    </w:p>
    <w:p>
      <w:pPr>
        <w:numPr/>
        <w:pBdr>
          <w:bottom/>
        </w:pBdr>
        <w:snapToGrid/>
        <w:spacing w:before="80" w:after="80" w:line="560" w:lineRule="exact"/>
        <w:ind w:left="0" w:right="0"/>
        <w:jc w:val="both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>广电总局于12月31日开展为期一个月的“AI魔改”视频专项治理，重点清理一是四大名著、历史题材、革命题材、英模人物等电视剧作品；二是内容渲染血腥暴力、猎奇低俗，宣扬错误价值观，违背公序良俗；三是存在对中华文化挪用、篡改的影视及动画，要求每周发布治理公告，各平台统一对齐报总局。安全团队在原有25年清朗·短视频恶意营销专项中设立子专项，积极应对。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WXB成立对日“网上斗争”专项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>专项要求做好吹捧高市早苗及日本相关内容清理，同时避免出现人身攻击、极端仇日言论。团队根据要求成立配套专项，重点关注鼓吹赴日旅游、传播行煽聚集内容，自平台从严落实清理工作，并与甲方保持密切互动。</w:t>
      </w:r>
    </w:p>
    <w:p>
      <w:pPr>
        <w:pStyle w:val="sfujuv"/>
        <w:numPr>
          <w:ilvl w:val="0"/>
          <w:numId w:val="1"/>
        </w:numPr>
        <w:pBdr>
          <w:bottom/>
        </w:pBdr>
        <w:ind/>
        <w:rPr/>
      </w:pPr>
      <w:r>
        <w:rPr/>
        <w:t>AI与智能体监管动态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《人工智能拟人化互动服务管理暂行办法（征求意见稿）》专题研讨会</w:t>
      </w:r>
    </w:p>
    <w:p>
      <w:pPr>
        <w:pBdr/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>12月30日，网安协会组织《人工智能拟人化互动服务管理暂行办法（征求意见稿）》专题研讨会。上海人工智能实验室、电子四院以及互联网行业代表参会。会上，专家与代表普遍反映目前规定过严，希望限缩适用范围。我司同阿里、趣玩科技一致认为应当排除通用型AI问答产品，适当减轻平台安全责任。下一步文内将联动研究院、法务及业务团队，研提更加详细建议，做好多渠道反馈。</w:t>
      </w:r>
    </w:p>
    <w:p>
      <w:pPr>
        <w:numPr/>
        <w:pBdr>
          <w:bottom/>
        </w:pBdr>
        <w:snapToGrid/>
        <w:spacing w:before="0" w:after="0" w:line="560" w:lineRule="exact"/>
        <w:ind/>
        <w:jc w:val="both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b/>
          <w:color w:val="333333"/>
          <w:sz w:val="24"/>
        </w:rPr>
        <w:t>前期：2025年9月，ZXB密集约稿AI“人格化”发展及负面风险。</w:t>
      </w:r>
      <w:r>
        <w:rPr>
          <w:rFonts w:hint="eastAsia" w:ascii="仿宋_GB2312" w:hAnsi="仿宋_GB2312" w:eastAsia="仿宋_GB2312" w:cs="仿宋_GB2312"/>
          <w:bCs/>
          <w:color w:val="333333"/>
          <w:sz w:val="24"/>
        </w:rPr>
        <w:t>近期ZXB舆情局针对“人格化”人工智能、情感陪伴类AI应用、AI或导致自杀和犯罪等话题接连约稿，背景系高层批示AI情感化发展影响青年婚恋观等，交办ZXB加强研究，舆情、文内联合应对支持。团队展现“人格化”AI及情感陪伴类AI的经济和社会价值，呼吁安全与发展并重，对可能产生的极端风险保持审慎态度。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AI生态风险研判与治理应对研讨会</w:t>
      </w: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sz w:val="24"/>
        </w:rPr>
        <w:t>拟</w:t>
      </w:r>
      <w:r>
        <w:rPr>
          <w:rFonts w:hint="eastAsia" w:ascii="仿宋_GB2312" w:hAnsi="仿宋_GB2312" w:eastAsia="仿宋_GB2312" w:cs="仿宋_GB2312"/>
          <w:sz w:val="24"/>
        </w:rPr>
        <w:t>深</w:t>
      </w:r>
      <w:r>
        <w:rPr>
          <w:rFonts w:hint="eastAsia" w:ascii="仿宋_GB2312" w:hAnsi="仿宋_GB2312" w:eastAsia="仿宋_GB2312" w:cs="仿宋_GB2312"/>
          <w:sz w:val="24"/>
        </w:rPr>
        <w:t>入</w:t>
      </w:r>
      <w:r>
        <w:rPr>
          <w:rFonts w:hint="eastAsia" w:ascii="仿宋_GB2312" w:hAnsi="仿宋_GB2312" w:eastAsia="仿宋_GB2312" w:cs="仿宋_GB2312"/>
          <w:sz w:val="24"/>
        </w:rPr>
        <w:t>研讨</w:t>
      </w:r>
      <w:r>
        <w:rPr>
          <w:rFonts w:hint="eastAsia"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先</w:t>
      </w:r>
      <w:r>
        <w:rPr>
          <w:rFonts w:hint="eastAsia" w:ascii="仿宋_GB2312" w:hAnsi="仿宋_GB2312" w:eastAsia="仿宋_GB2312" w:cs="仿宋_GB2312"/>
          <w:sz w:val="24"/>
        </w:rPr>
        <w:t>预</w:t>
      </w:r>
      <w:r>
        <w:rPr>
          <w:rFonts w:hint="eastAsia" w:ascii="仿宋_GB2312" w:hAnsi="仿宋_GB2312" w:eastAsia="仿宋_GB2312" w:cs="仿宋_GB2312"/>
          <w:sz w:val="24"/>
        </w:rPr>
        <w:t>讨论</w:t>
      </w:r>
      <w:r>
        <w:rPr>
          <w:rFonts w:hint="eastAsia" w:ascii="仿宋_GB2312" w:hAnsi="仿宋_GB2312" w:eastAsia="仿宋_GB2312" w:cs="仿宋_GB2312"/>
          <w:sz w:val="24"/>
        </w:rPr>
        <w:t>。</w:t>
      </w:r>
      <w:r>
        <w:rPr>
          <w:rFonts w:hint="eastAsia" w:ascii="仿宋_GB2312" w:hAnsi="仿宋_GB2312" w:eastAsia="仿宋_GB2312" w:cs="仿宋_GB2312"/>
          <w:sz w:val="24"/>
        </w:rPr>
        <w:t>其他</w:t>
      </w:r>
      <w:r>
        <w:rPr>
          <w:rFonts w:hint="eastAsia" w:ascii="仿宋_GB2312" w:hAnsi="仿宋_GB2312" w:eastAsia="仿宋_GB2312" w:cs="仿宋_GB2312"/>
          <w:sz w:val="24"/>
        </w:rPr>
        <w:t xml:space="preserve"> a</w:t>
      </w:r>
      <w:r>
        <w:rPr>
          <w:rFonts w:hint="eastAsia" w:ascii="仿宋_GB2312" w:hAnsi="仿宋_GB2312" w:eastAsia="仿宋_GB2312" w:cs="仿宋_GB2312"/>
          <w:sz w:val="24"/>
        </w:rPr>
        <w:t>i</w:t>
      </w:r>
      <w:r>
        <w:rPr>
          <w:rFonts w:hint="eastAsia" w:ascii="仿宋_GB2312" w:hAnsi="仿宋_GB2312" w:eastAsia="仿宋_GB2312" w:cs="仿宋_GB2312"/>
          <w:sz w:val="24"/>
        </w:rPr>
        <w:t xml:space="preserve"> 类</w:t>
      </w:r>
      <w:r>
        <w:rPr>
          <w:rFonts w:hint="eastAsia" w:ascii="仿宋_GB2312" w:hAnsi="仿宋_GB2312" w:eastAsia="仿宋_GB2312" w:cs="仿宋_GB2312"/>
          <w:sz w:val="24"/>
        </w:rPr>
        <w:t>内容</w:t>
      </w:r>
      <w:r>
        <w:rPr>
          <w:rFonts w:hint="eastAsia" w:ascii="仿宋_GB2312" w:hAnsi="仿宋_GB2312" w:eastAsia="仿宋_GB2312" w:cs="仿宋_GB2312"/>
          <w:sz w:val="24"/>
        </w:rPr>
        <w:t>安全</w:t>
      </w:r>
      <w:r>
        <w:rPr>
          <w:rFonts w:hint="eastAsia" w:ascii="仿宋_GB2312" w:hAnsi="仿宋_GB2312" w:eastAsia="仿宋_GB2312" w:cs="仿宋_GB2312"/>
          <w:sz w:val="24"/>
        </w:rPr>
        <w:t>难题</w:t>
      </w:r>
      <w:r>
        <w:rPr>
          <w:rFonts w:hint="eastAsia"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是</w:t>
      </w:r>
      <w:r>
        <w:rPr>
          <w:rFonts w:hint="eastAsia" w:ascii="仿宋_GB2312" w:hAnsi="仿宋_GB2312" w:eastAsia="仿宋_GB2312" w:cs="仿宋_GB2312"/>
          <w:sz w:val="24"/>
        </w:rPr>
        <w:t>否</w:t>
      </w:r>
      <w:r>
        <w:rPr>
          <w:rFonts w:hint="eastAsia" w:ascii="仿宋_GB2312" w:hAnsi="仿宋_GB2312" w:eastAsia="仿宋_GB2312" w:cs="仿宋_GB2312"/>
          <w:sz w:val="24"/>
        </w:rPr>
        <w:t>涉及</w:t>
      </w:r>
      <w:r>
        <w:rPr>
          <w:rFonts w:hint="eastAsia" w:ascii="仿宋_GB2312" w:hAnsi="仿宋_GB2312" w:eastAsia="仿宋_GB2312" w:cs="仿宋_GB2312"/>
          <w:sz w:val="24"/>
        </w:rPr>
        <w:t xml:space="preserve"> s</w:t>
      </w:r>
      <w:r>
        <w:rPr>
          <w:rFonts w:hint="eastAsia" w:ascii="仿宋_GB2312" w:hAnsi="仿宋_GB2312" w:eastAsia="仿宋_GB2312" w:cs="仿宋_GB2312"/>
          <w:sz w:val="24"/>
        </w:rPr>
        <w:t>1</w:t>
      </w:r>
      <w:r>
        <w:rPr>
          <w:rFonts w:hint="eastAsia" w:ascii="仿宋_GB2312" w:hAnsi="仿宋_GB2312" w:eastAsia="仿宋_GB2312" w:cs="仿宋_GB2312"/>
          <w:sz w:val="24"/>
        </w:rPr>
        <w:t xml:space="preserve"> 其他</w:t>
      </w:r>
      <w:r>
        <w:rPr>
          <w:rFonts w:hint="eastAsia" w:ascii="仿宋_GB2312" w:hAnsi="仿宋_GB2312" w:eastAsia="仿宋_GB2312" w:cs="仿宋_GB2312"/>
          <w:sz w:val="24"/>
        </w:rPr>
        <w:t>团队</w:t>
      </w:r>
      <w:r>
        <w:rPr>
          <w:rFonts w:hint="eastAsia" w:ascii="仿宋_GB2312" w:hAnsi="仿宋_GB2312" w:eastAsia="仿宋_GB2312" w:cs="仿宋_GB2312"/>
          <w:sz w:val="24"/>
        </w:rPr>
        <w:t>。</w:t>
      </w:r>
      <w:r>
        <w:rPr>
          <w:rFonts w:hint="eastAsia" w:ascii="仿宋_GB2312" w:hAnsi="仿宋_GB2312" w:eastAsia="仿宋_GB2312" w:cs="仿宋_GB2312"/>
          <w:sz w:val="24"/>
        </w:rPr>
        <w:t>上</w:t>
      </w:r>
      <w:r>
        <w:rPr>
          <w:rFonts w:hint="eastAsia" w:ascii="仿宋_GB2312" w:hAnsi="仿宋_GB2312" w:eastAsia="仿宋_GB2312" w:cs="仿宋_GB2312"/>
          <w:sz w:val="24"/>
        </w:rPr>
        <w:t>月</w:t>
      </w:r>
      <w:r>
        <w:rPr>
          <w:rFonts w:hint="eastAsia" w:ascii="仿宋_GB2312" w:hAnsi="仿宋_GB2312" w:eastAsia="仿宋_GB2312" w:cs="仿宋_GB2312"/>
          <w:sz w:val="24"/>
        </w:rPr>
        <w:t>总</w:t>
      </w:r>
      <w:r>
        <w:rPr>
          <w:rFonts w:hint="eastAsia" w:ascii="仿宋_GB2312" w:hAnsi="仿宋_GB2312" w:eastAsia="仿宋_GB2312" w:cs="仿宋_GB2312"/>
          <w:sz w:val="24"/>
        </w:rPr>
        <w:t>办</w:t>
      </w:r>
      <w:r>
        <w:rPr>
          <w:rFonts w:hint="eastAsia" w:ascii="仿宋_GB2312" w:hAnsi="仿宋_GB2312" w:eastAsia="仿宋_GB2312" w:cs="仿宋_GB2312"/>
          <w:sz w:val="24"/>
        </w:rPr>
        <w:t>会</w:t>
      </w:r>
      <w:r>
        <w:rPr>
          <w:rFonts w:hint="eastAsia"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内容</w:t>
      </w:r>
      <w:r>
        <w:rPr>
          <w:rFonts w:hint="eastAsia" w:ascii="仿宋_GB2312" w:hAnsi="仿宋_GB2312" w:eastAsia="仿宋_GB2312" w:cs="仿宋_GB2312"/>
          <w:sz w:val="24"/>
        </w:rPr>
        <w:t>生态</w:t>
      </w:r>
      <w:r>
        <w:rPr>
          <w:rFonts w:hint="eastAsia" w:ascii="仿宋_GB2312" w:hAnsi="仿宋_GB2312" w:eastAsia="仿宋_GB2312" w:cs="仿宋_GB2312"/>
          <w:sz w:val="24"/>
        </w:rPr>
        <w:t>治理</w:t>
      </w:r>
      <w:r>
        <w:rPr>
          <w:rFonts w:hint="eastAsia" w:ascii="仿宋_GB2312" w:hAnsi="仿宋_GB2312" w:eastAsia="仿宋_GB2312" w:cs="仿宋_GB2312"/>
          <w:sz w:val="24"/>
        </w:rPr>
        <w:t>——</w:t>
      </w:r>
      <w:r>
        <w:rPr>
          <w:rFonts w:hint="eastAsia" w:ascii="仿宋_GB2312" w:hAnsi="仿宋_GB2312" w:eastAsia="仿宋_GB2312" w:cs="仿宋_GB2312"/>
          <w:sz w:val="24"/>
        </w:rPr>
        <w:t>舆论</w:t>
      </w:r>
      <w:r>
        <w:rPr>
          <w:rFonts w:hint="eastAsia" w:ascii="仿宋_GB2312" w:hAnsi="仿宋_GB2312" w:eastAsia="仿宋_GB2312" w:cs="仿宋_GB2312"/>
          <w:sz w:val="24"/>
        </w:rPr>
        <w:t>场</w:t>
      </w:r>
      <w:r>
        <w:rPr>
          <w:rFonts w:hint="eastAsia" w:ascii="仿宋_GB2312" w:hAnsi="仿宋_GB2312" w:eastAsia="仿宋_GB2312" w:cs="仿宋_GB2312"/>
          <w:sz w:val="24"/>
        </w:rPr>
        <w:t>推手</w:t>
      </w:r>
      <w:r>
        <w:rPr>
          <w:rFonts w:hint="eastAsia" w:ascii="仿宋_GB2312" w:hAnsi="仿宋_GB2312" w:eastAsia="仿宋_GB2312" w:cs="仿宋_GB2312"/>
          <w:sz w:val="24"/>
        </w:rPr>
        <w:t>角度</w:t>
      </w:r>
      <w:r>
        <w:rPr>
          <w:rFonts w:hint="eastAsia"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a</w:t>
      </w:r>
      <w:r>
        <w:rPr>
          <w:rFonts w:hint="eastAsia" w:ascii="仿宋_GB2312" w:hAnsi="仿宋_GB2312" w:eastAsia="仿宋_GB2312" w:cs="仿宋_GB2312"/>
          <w:sz w:val="24"/>
        </w:rPr>
        <w:t>i</w:t>
      </w:r>
      <w:r>
        <w:rPr>
          <w:rFonts w:hint="eastAsia" w:ascii="仿宋_GB2312" w:hAnsi="仿宋_GB2312" w:eastAsia="仿宋_GB2312" w:cs="仿宋_GB2312"/>
          <w:sz w:val="24"/>
        </w:rPr>
        <w:t xml:space="preserve"> 的</w:t>
      </w:r>
      <w:r>
        <w:rPr>
          <w:rFonts w:hint="eastAsia" w:ascii="仿宋_GB2312" w:hAnsi="仿宋_GB2312" w:eastAsia="仿宋_GB2312" w:cs="仿宋_GB2312"/>
          <w:sz w:val="24"/>
        </w:rPr>
        <w:t>话</w:t>
      </w:r>
      <w:r>
        <w:rPr>
          <w:rFonts w:hint="eastAsia" w:ascii="仿宋_GB2312" w:hAnsi="仿宋_GB2312" w:eastAsia="仿宋_GB2312" w:cs="仿宋_GB2312"/>
          <w:sz w:val="24"/>
        </w:rPr>
        <w:t>更</w:t>
      </w:r>
      <w:r>
        <w:rPr>
          <w:rFonts w:hint="eastAsia" w:ascii="仿宋_GB2312" w:hAnsi="仿宋_GB2312" w:eastAsia="仿宋_GB2312" w:cs="仿宋_GB2312"/>
          <w:sz w:val="24"/>
        </w:rPr>
        <w:t>是</w:t>
      </w:r>
      <w:r>
        <w:rPr>
          <w:rFonts w:hint="eastAsia" w:ascii="仿宋_GB2312" w:hAnsi="仿宋_GB2312" w:eastAsia="仿宋_GB2312" w:cs="仿宋_GB2312"/>
          <w:sz w:val="24"/>
        </w:rPr>
        <w:t>工具</w:t>
      </w:r>
      <w:r>
        <w:rPr>
          <w:rFonts w:hint="eastAsia" w:ascii="仿宋_GB2312" w:hAnsi="仿宋_GB2312" w:eastAsia="仿宋_GB2312" w:cs="仿宋_GB2312"/>
          <w:sz w:val="24"/>
        </w:rPr>
        <w:t>层面</w:t>
      </w:r>
      <w:r>
        <w:rPr>
          <w:rFonts w:hint="eastAsia"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目前</w:t>
      </w:r>
      <w:r>
        <w:rPr>
          <w:rFonts w:hint="eastAsia" w:ascii="仿宋_GB2312" w:hAnsi="仿宋_GB2312" w:eastAsia="仿宋_GB2312" w:cs="仿宋_GB2312"/>
          <w:sz w:val="24"/>
        </w:rPr>
        <w:t>没</w:t>
      </w:r>
      <w:r>
        <w:rPr>
          <w:rFonts w:hint="eastAsia" w:ascii="仿宋_GB2312" w:hAnsi="仿宋_GB2312" w:eastAsia="仿宋_GB2312" w:cs="仿宋_GB2312"/>
          <w:sz w:val="24"/>
        </w:rPr>
        <w:t>有</w:t>
      </w:r>
      <w:r>
        <w:rPr>
          <w:rFonts w:hint="eastAsia" w:ascii="仿宋_GB2312" w:hAnsi="仿宋_GB2312" w:eastAsia="仿宋_GB2312" w:cs="仿宋_GB2312"/>
          <w:sz w:val="24"/>
        </w:rPr>
        <w:t>特别</w:t>
      </w:r>
      <w:r>
        <w:rPr>
          <w:rFonts w:hint="eastAsia" w:ascii="仿宋_GB2312" w:hAnsi="仿宋_GB2312" w:eastAsia="仿宋_GB2312" w:cs="仿宋_GB2312"/>
          <w:sz w:val="24"/>
        </w:rPr>
        <w:t>好</w:t>
      </w:r>
      <w:r>
        <w:rPr>
          <w:rFonts w:hint="eastAsia" w:ascii="仿宋_GB2312" w:hAnsi="仿宋_GB2312" w:eastAsia="仿宋_GB2312" w:cs="仿宋_GB2312"/>
          <w:sz w:val="24"/>
        </w:rPr>
        <w:t>的</w:t>
      </w:r>
      <w:r>
        <w:rPr>
          <w:rFonts w:hint="eastAsia" w:ascii="仿宋_GB2312" w:hAnsi="仿宋_GB2312" w:eastAsia="仿宋_GB2312" w:cs="仿宋_GB2312"/>
          <w:sz w:val="24"/>
        </w:rPr>
        <w:t>应对</w:t>
      </w:r>
      <w:r>
        <w:rPr>
          <w:rFonts w:hint="eastAsia" w:ascii="仿宋_GB2312" w:hAnsi="仿宋_GB2312" w:eastAsia="仿宋_GB2312" w:cs="仿宋_GB2312"/>
          <w:sz w:val="24"/>
        </w:rPr>
        <w:t>解</w:t>
      </w:r>
      <w:r>
        <w:rPr>
          <w:rFonts w:hint="eastAsia" w:ascii="仿宋_GB2312" w:hAnsi="仿宋_GB2312" w:eastAsia="仿宋_GB2312" w:cs="仿宋_GB2312"/>
          <w:sz w:val="24"/>
        </w:rPr>
        <w:t>法</w:t>
      </w:r>
      <w:r>
        <w:rPr>
          <w:rFonts w:hint="eastAsia" w:ascii="仿宋_GB2312" w:hAnsi="仿宋_GB2312" w:eastAsia="仿宋_GB2312" w:cs="仿宋_GB2312"/>
          <w:sz w:val="24"/>
        </w:rPr>
        <w:t>）</w:t>
      </w: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sz w:val="24"/>
        </w:rPr>
        <w:t>危害</w:t>
      </w:r>
      <w:r>
        <w:rPr>
          <w:rFonts w:hint="eastAsia" w:ascii="仿宋_GB2312" w:hAnsi="仿宋_GB2312" w:eastAsia="仿宋_GB2312" w:cs="仿宋_GB2312"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</w:rPr>
        <w:t>识</w:t>
      </w:r>
      <w:r>
        <w:rPr>
          <w:rFonts w:hint="eastAsia" w:ascii="仿宋_GB2312" w:hAnsi="仿宋_GB2312" w:eastAsia="仿宋_GB2312" w:cs="仿宋_GB2312"/>
          <w:sz w:val="24"/>
        </w:rPr>
        <w:t>别</w:t>
      </w:r>
      <w:r>
        <w:rPr>
          <w:rFonts w:hint="eastAsia" w:ascii="仿宋_GB2312" w:hAnsi="仿宋_GB2312" w:eastAsia="仿宋_GB2312" w:cs="仿宋_GB2312"/>
          <w:sz w:val="24"/>
        </w:rPr>
        <w:t>难度</w:t>
      </w:r>
      <w:r>
        <w:rPr>
          <w:rFonts w:hint="eastAsia" w:ascii="仿宋_GB2312" w:hAnsi="仿宋_GB2312" w:eastAsia="仿宋_GB2312" w:cs="仿宋_GB2312"/>
          <w:sz w:val="24"/>
        </w:rPr>
        <w:t>变</w:t>
      </w:r>
      <w:r>
        <w:rPr>
          <w:rFonts w:hint="eastAsia" w:ascii="仿宋_GB2312" w:hAnsi="仿宋_GB2312" w:eastAsia="仿宋_GB2312" w:cs="仿宋_GB2312"/>
          <w:sz w:val="24"/>
        </w:rPr>
        <w:t>大</w:t>
      </w:r>
      <w:r>
        <w:rPr>
          <w:rFonts w:hint="eastAsia"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也</w:t>
      </w:r>
      <w:r>
        <w:rPr>
          <w:rFonts w:hint="eastAsia" w:ascii="仿宋_GB2312" w:hAnsi="仿宋_GB2312" w:eastAsia="仿宋_GB2312" w:cs="仿宋_GB2312"/>
          <w:sz w:val="24"/>
        </w:rPr>
        <w:t>会</w:t>
      </w:r>
      <w:r>
        <w:rPr>
          <w:rFonts w:hint="eastAsia" w:ascii="仿宋_GB2312" w:hAnsi="仿宋_GB2312" w:eastAsia="仿宋_GB2312" w:cs="仿宋_GB2312"/>
          <w:sz w:val="24"/>
        </w:rPr>
        <w:t>冲击</w:t>
      </w:r>
      <w:r>
        <w:rPr>
          <w:rFonts w:hint="eastAsia" w:ascii="仿宋_GB2312" w:hAnsi="仿宋_GB2312" w:eastAsia="仿宋_GB2312" w:cs="仿宋_GB2312"/>
          <w:sz w:val="24"/>
        </w:rPr>
        <w:t>现</w:t>
      </w:r>
      <w:r>
        <w:rPr>
          <w:rFonts w:hint="eastAsia" w:ascii="仿宋_GB2312" w:hAnsi="仿宋_GB2312" w:eastAsia="仿宋_GB2312" w:cs="仿宋_GB2312"/>
          <w:sz w:val="24"/>
        </w:rPr>
        <w:t>有</w:t>
      </w:r>
      <w:r>
        <w:rPr>
          <w:rFonts w:hint="eastAsia" w:ascii="仿宋_GB2312" w:hAnsi="仿宋_GB2312" w:eastAsia="仿宋_GB2312" w:cs="仿宋_GB2312"/>
          <w:sz w:val="24"/>
        </w:rPr>
        <w:t>商业</w:t>
      </w:r>
      <w:r>
        <w:rPr>
          <w:rFonts w:hint="eastAsia" w:ascii="仿宋_GB2312" w:hAnsi="仿宋_GB2312" w:eastAsia="仿宋_GB2312" w:cs="仿宋_GB2312"/>
          <w:sz w:val="24"/>
        </w:rPr>
        <w:t>模式</w:t>
      </w:r>
      <w:r>
        <w:rPr>
          <w:rFonts w:hint="eastAsia"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如</w:t>
      </w:r>
      <w:r>
        <w:rPr>
          <w:rFonts w:hint="eastAsia" w:ascii="仿宋_GB2312" w:hAnsi="仿宋_GB2312" w:eastAsia="仿宋_GB2312" w:cs="仿宋_GB2312"/>
          <w:sz w:val="24"/>
        </w:rPr>
        <w:t>网</w:t>
      </w:r>
      <w:r>
        <w:rPr>
          <w:rFonts w:hint="eastAsia" w:ascii="仿宋_GB2312" w:hAnsi="仿宋_GB2312" w:eastAsia="仿宋_GB2312" w:cs="仿宋_GB2312"/>
          <w:sz w:val="24"/>
        </w:rPr>
        <w:t>文</w:t>
      </w:r>
      <w:r>
        <w:rPr>
          <w:rFonts w:hint="eastAsia" w:ascii="仿宋_GB2312" w:hAnsi="仿宋_GB2312" w:eastAsia="仿宋_GB2312" w:cs="仿宋_GB2312"/>
          <w:sz w:val="24"/>
        </w:rPr>
        <w:t>被</w:t>
      </w:r>
      <w:r>
        <w:rPr>
          <w:rFonts w:hint="eastAsia" w:ascii="仿宋_GB2312" w:hAnsi="仿宋_GB2312" w:eastAsia="仿宋_GB2312" w:cs="仿宋_GB2312"/>
          <w:sz w:val="24"/>
        </w:rPr>
        <w:t>洗</w:t>
      </w:r>
      <w:r>
        <w:rPr>
          <w:rFonts w:hint="eastAsia" w:ascii="仿宋_GB2312" w:hAnsi="仿宋_GB2312" w:eastAsia="仿宋_GB2312" w:cs="仿宋_GB2312"/>
          <w:sz w:val="24"/>
        </w:rPr>
        <w:t>稿</w:t>
      </w:r>
      <w:r>
        <w:rPr>
          <w:rFonts w:hint="eastAsia" w:ascii="仿宋_GB2312" w:hAnsi="仿宋_GB2312" w:eastAsia="仿宋_GB2312" w:cs="仿宋_GB2312"/>
          <w:sz w:val="24"/>
        </w:rPr>
        <w:t>）</w:t>
      </w: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sz w:val="24"/>
        </w:rPr>
        <w:t>危害</w:t>
      </w:r>
      <w:r>
        <w:rPr>
          <w:rFonts w:hint="eastAsia" w:ascii="仿宋_GB2312" w:hAnsi="仿宋_GB2312" w:eastAsia="仿宋_GB2312" w:cs="仿宋_GB2312"/>
          <w:sz w:val="24"/>
        </w:rPr>
        <w:t>、</w:t>
      </w:r>
      <w:r>
        <w:rPr>
          <w:rFonts w:hint="eastAsia" w:ascii="仿宋_GB2312" w:hAnsi="仿宋_GB2312" w:eastAsia="仿宋_GB2312" w:cs="仿宋_GB2312"/>
          <w:sz w:val="24"/>
        </w:rPr>
        <w:t>策略</w:t>
      </w:r>
      <w:r>
        <w:rPr>
          <w:rFonts w:hint="eastAsia"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观察</w:t>
      </w:r>
      <w:r>
        <w:rPr>
          <w:rFonts w:hint="eastAsia" w:ascii="仿宋_GB2312" w:hAnsi="仿宋_GB2312" w:eastAsia="仿宋_GB2312" w:cs="仿宋_GB2312"/>
          <w:sz w:val="24"/>
        </w:rPr>
        <w:t>下</w:t>
      </w:r>
      <w:r>
        <w:rPr>
          <w:rFonts w:hint="eastAsia" w:ascii="仿宋_GB2312" w:hAnsi="仿宋_GB2312" w:eastAsia="仿宋_GB2312" w:cs="仿宋_GB2312"/>
          <w:sz w:val="24"/>
        </w:rPr>
        <w:t>话题</w:t>
      </w:r>
      <w:r>
        <w:rPr>
          <w:rFonts w:hint="eastAsia" w:ascii="仿宋_GB2312" w:hAnsi="仿宋_GB2312" w:eastAsia="仿宋_GB2312" w:cs="仿宋_GB2312"/>
          <w:sz w:val="24"/>
        </w:rPr>
        <w:t>走势</w:t>
      </w:r>
      <w:r>
        <w:rPr>
          <w:rFonts w:hint="eastAsia" w:ascii="仿宋_GB2312" w:hAnsi="仿宋_GB2312" w:eastAsia="仿宋_GB2312" w:cs="仿宋_GB2312"/>
          <w:sz w:val="24"/>
        </w:rPr>
        <w:t>）</w:t>
      </w: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sz w:val="24"/>
        </w:rPr>
        <w:t>此</w:t>
      </w:r>
      <w:r>
        <w:rPr>
          <w:rFonts w:hint="eastAsia" w:ascii="仿宋_GB2312" w:hAnsi="仿宋_GB2312" w:eastAsia="仿宋_GB2312" w:cs="仿宋_GB2312"/>
          <w:sz w:val="24"/>
        </w:rPr>
        <w:t>前</w:t>
      </w:r>
      <w:r>
        <w:rPr>
          <w:rFonts w:hint="eastAsia" w:ascii="仿宋_GB2312" w:hAnsi="仿宋_GB2312" w:eastAsia="仿宋_GB2312" w:cs="仿宋_GB2312"/>
          <w:sz w:val="24"/>
        </w:rPr>
        <w:t>安</w:t>
      </w:r>
      <w:r>
        <w:rPr>
          <w:rFonts w:hint="eastAsia" w:ascii="仿宋_GB2312" w:hAnsi="仿宋_GB2312" w:eastAsia="仿宋_GB2312" w:cs="仿宋_GB2312"/>
          <w:sz w:val="24"/>
        </w:rPr>
        <w:t>管</w:t>
      </w:r>
      <w:r>
        <w:rPr>
          <w:rFonts w:hint="eastAsia" w:ascii="仿宋_GB2312" w:hAnsi="仿宋_GB2312" w:eastAsia="仿宋_GB2312" w:cs="仿宋_GB2312"/>
          <w:sz w:val="24"/>
        </w:rPr>
        <w:t>汇报</w:t>
      </w:r>
      <w:r>
        <w:rPr>
          <w:rFonts w:hint="eastAsia" w:ascii="仿宋_GB2312" w:hAnsi="仿宋_GB2312" w:eastAsia="仿宋_GB2312" w:cs="仿宋_GB2312"/>
          <w:sz w:val="24"/>
        </w:rPr>
        <w:t>过</w:t>
      </w:r>
      <w:r>
        <w:rPr>
          <w:rFonts w:hint="eastAsia" w:ascii="仿宋_GB2312" w:hAnsi="仿宋_GB2312" w:eastAsia="仿宋_GB2312" w:cs="仿宋_GB2312"/>
          <w:sz w:val="24"/>
        </w:rPr>
        <w:t>黑</w:t>
      </w:r>
      <w:r>
        <w:rPr>
          <w:rFonts w:hint="eastAsia" w:ascii="仿宋_GB2312" w:hAnsi="仿宋_GB2312" w:eastAsia="仿宋_GB2312" w:cs="仿宋_GB2312"/>
          <w:sz w:val="24"/>
        </w:rPr>
        <w:t>灰</w:t>
      </w:r>
      <w:r>
        <w:rPr>
          <w:rFonts w:hint="eastAsia" w:ascii="仿宋_GB2312" w:hAnsi="仿宋_GB2312" w:eastAsia="仿宋_GB2312" w:cs="仿宋_GB2312"/>
          <w:sz w:val="24"/>
        </w:rPr>
        <w:t>产</w:t>
      </w:r>
      <w:r>
        <w:rPr>
          <w:rFonts w:hint="eastAsia"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涉及</w:t>
      </w:r>
      <w:r>
        <w:rPr>
          <w:rFonts w:hint="eastAsia" w:ascii="仿宋_GB2312" w:hAnsi="仿宋_GB2312" w:eastAsia="仿宋_GB2312" w:cs="仿宋_GB2312"/>
          <w:sz w:val="24"/>
        </w:rPr>
        <w:t xml:space="preserve"> a</w:t>
      </w:r>
      <w:r>
        <w:rPr>
          <w:rFonts w:hint="eastAsia" w:ascii="仿宋_GB2312" w:hAnsi="仿宋_GB2312" w:eastAsia="仿宋_GB2312" w:cs="仿宋_GB2312"/>
          <w:sz w:val="24"/>
        </w:rPr>
        <w:t>i</w:t>
      </w:r>
      <w:r>
        <w:rPr>
          <w:rFonts w:hint="eastAsia" w:ascii="仿宋_GB2312" w:hAnsi="仿宋_GB2312" w:eastAsia="仿宋_GB2312" w:cs="仿宋_GB2312"/>
          <w:sz w:val="24"/>
        </w:rPr>
        <w:t>，</w:t>
      </w:r>
      <w:r>
        <w:rPr>
          <w:rFonts w:hint="eastAsia" w:ascii="仿宋_GB2312" w:hAnsi="仿宋_GB2312" w:eastAsia="仿宋_GB2312" w:cs="仿宋_GB2312"/>
          <w:sz w:val="24"/>
        </w:rPr>
        <w:t>后来</w:t>
      </w:r>
      <w:r>
        <w:rPr>
          <w:rFonts w:hint="eastAsia" w:ascii="仿宋_GB2312" w:hAnsi="仿宋_GB2312" w:eastAsia="仿宋_GB2312" w:cs="仿宋_GB2312"/>
          <w:sz w:val="24"/>
        </w:rPr>
        <w:t>没</w:t>
      </w:r>
      <w:r>
        <w:rPr>
          <w:rFonts w:hint="eastAsia" w:ascii="仿宋_GB2312" w:hAnsi="仿宋_GB2312" w:eastAsia="仿宋_GB2312" w:cs="仿宋_GB2312"/>
          <w:sz w:val="24"/>
        </w:rPr>
        <w:t>做</w:t>
      </w:r>
      <w:r>
        <w:rPr>
          <w:rFonts w:hint="eastAsia" w:ascii="仿宋_GB2312" w:hAnsi="仿宋_GB2312" w:eastAsia="仿宋_GB2312" w:cs="仿宋_GB2312"/>
          <w:sz w:val="24"/>
        </w:rPr>
        <w:t>为</w:t>
      </w:r>
      <w:r>
        <w:rPr>
          <w:rFonts w:hint="eastAsia" w:ascii="仿宋_GB2312" w:hAnsi="仿宋_GB2312" w:eastAsia="仿宋_GB2312" w:cs="仿宋_GB2312"/>
          <w:sz w:val="24"/>
        </w:rPr>
        <w:t>每</w:t>
      </w:r>
      <w:r>
        <w:rPr>
          <w:rFonts w:hint="eastAsia" w:ascii="仿宋_GB2312" w:hAnsi="仿宋_GB2312" w:eastAsia="仿宋_GB2312" w:cs="仿宋_GB2312"/>
          <w:sz w:val="24"/>
        </w:rPr>
        <w:t>月</w:t>
      </w:r>
      <w:r>
        <w:rPr>
          <w:rFonts w:hint="eastAsia" w:ascii="仿宋_GB2312" w:hAnsi="仿宋_GB2312" w:eastAsia="仿宋_GB2312" w:cs="仿宋_GB2312"/>
          <w:sz w:val="24"/>
        </w:rPr>
        <w:t>类型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>
      <w:pPr>
        <w:numPr/>
        <w:pBdr>
          <w:bottom/>
        </w:pBdr>
        <w:snapToGrid/>
        <w:spacing w:before="0" w:after="0" w:line="560" w:lineRule="exact"/>
        <w:ind w:left="0" w:right="0"/>
        <w:jc w:val="both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>综治局委托网安协会人工智能专委会组织，聚焦AI应用实践过程中内容安全治理的主要风险与问题。团队从AI不实信息、AI水军、AI假冒仿冒公众人物、AI低俗擦边暴力的治理难点及应对措施展开论述，并指出技术手段在AI内容治理中的作用与边界。据了解，下一步协会将考虑企业共建人工智能安全事件库，并和电子四院推动《人工智能安全成熟度标准》。后续文内联动继续和综治局、协会密切跟进。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WXB调研大模型安全和发展情况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>3日，技术局带队，技术保障中心、广东网信办、深圳网信办、安全中心广东分中心及大湾区人工智能联合实验室等13人到公司现场调研。调研涵盖混元大模型底层技术架构、算力芯片集群、内容安全策略、公司在Ai领域投入情况、研发人员构成以及元宝、QQ浏览器等上层应用情况。根据调研要求，文内协同CSIGPA、安管及信服线等提前准备。交流中巧妙回避了甲方比较关注的芯片、供应链等敏感问题，整体甲方感受良好。同时对方提出腾讯系业务用户基数大、社会动员能力强，需要统筹安全与发展，加强新功能上线前的安全评估和情况汇报。下一步，团队做好相关材料补充，并视情做好双新评估互动，保障业务顺利发展。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信息化局“终端智能体生态”研讨会（开源体系/行为规则建设）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 xml:space="preserve">信息化局召集字节、智谱等互联网企业，探讨终端应用智能体生态发展，文内、研究院参会。会上甲方表示，要坚持市场主导、搭建平台，引导合作、鼓励新模式探索、平衡创新与安全，并邀请与会企业参与开源体系建设、行为规则与边界、缺陷检测、身份标识和能力声明等工作。后续文内将拉通研究院以及标准团队研究对策建议，参与支持信息化局相关工作。  </w:t>
      </w:r>
    </w:p>
    <w:p>
      <w:pPr>
        <w:numPr/>
        <w:pBdr>
          <w:bottom/>
        </w:pBdr>
        <w:snapToGrid/>
        <w:spacing w:before="0" w:after="0" w:line="560" w:lineRule="exact"/>
        <w:ind w:left="0" w:righ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</w:p>
    <w:p>
      <w:pPr>
        <w:pStyle w:val="sfujuv"/>
        <w:numPr>
          <w:ilvl w:val="0"/>
          <w:numId w:val="1"/>
        </w:numPr>
        <w:pBdr>
          <w:bottom/>
        </w:pBdr>
        <w:ind/>
        <w:rPr/>
      </w:pPr>
      <w:r>
        <w:rPr/>
        <w:t>流量与账号管理新规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WXB调研流量分配机制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 xml:space="preserve">综治局根据中央对浙江宣传《治理网络乱象需从流量机制入手》报道的批示，启动了对头部平台流量分配机制的调研。调研内容维度复杂，涵盖算法逻辑、商业运营及电商生态等多方面流量分配情况。文内已协同WXGPA、舆情及相关业务，依据甲方大纲逐条展开分析解读做好反馈，预计会有多轮交互，团队将做好持续跟进。  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WXB部署网络大V激励管理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 xml:space="preserve">WXB社会局部署网络大V激励管理工作腾讯、抖音、微博、快手、B站和小红书参会。因中央领导对整治网络大V流量至上、拥粉自重、借流量不当牟利等问题做出重要批示，要求作为2026年的重点任务，下步社会局将牵头协同传播局、综治局、舆情局等共同围绕正能量大V扶持、管理和乱象治理开展工作，计划强化头部大V、平台榜单、用户协议规则、账号分级分类和经济粉丝处置等方面的管理，团队将加强跟踪和预警，提前做好应对预案。  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WXB修订热搜榜单管理规范（限制未成年人/AI内容上榜）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 xml:space="preserve">目前处于内部酝酿阶段，预计还会征求平台意见。修订方向：要求新闻信息服务许可、强化算法推荐与生态管理限制要求，如未成年人、网暴等内容不得上榜，加强榜单商业化限制，加强对AI生成内容管理，规范MCN机构外显展示等等。文内将做好持续关注。  </w:t>
      </w:r>
    </w:p>
    <w:p>
      <w:pPr>
        <w:pStyle w:val="zyvx53"/>
        <w:numPr>
          <w:ilvl w:val="0"/>
          <w:numId w:val="2"/>
        </w:numPr>
        <w:spacing w:line="560" w:lineRule="exact"/>
        <w:ind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WXB拟建“价值导向指标体系”（大模型赋能内容推荐）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 xml:space="preserve">旨在利用大模型等技术，确保算法推荐内容的积极正向。目前，文内PA将联动WXGPA、舆情等各方启动前期研究，核心任务是结合平台自身规则与发展战略，将要求内化为适配的指标体系，探索低成本、可持续的合规路径。同时团队将持续跟进后续进展。  </w:t>
      </w:r>
    </w:p>
    <w:p>
      <w:pPr>
        <w:snapToGrid/>
        <w:spacing w:line="240"/>
        <w:ind/>
        <w:rPr/>
      </w:pPr>
    </w:p>
    <w:p>
      <w:pPr>
        <w:pStyle w:val="sfujuv"/>
        <w:numPr>
          <w:ilvl w:val="0"/>
          <w:numId w:val="1"/>
        </w:numPr>
        <w:pBdr>
          <w:bottom/>
        </w:pBdr>
        <w:ind/>
        <w:rPr/>
      </w:pPr>
      <w:r>
        <w:rPr/>
        <w:t>数据安全与</w:t>
      </w:r>
      <w:r>
        <w:rPr>
          <w:rFonts w:hint="eastAsia"/>
        </w:rPr>
        <w:t>网络</w:t>
      </w:r>
      <w:r>
        <w:rPr>
          <w:rFonts w:hint="eastAsia"/>
        </w:rPr>
        <w:t>安全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《网络数据安全风险评估办法》反馈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 xml:space="preserve">针对此次公开征求意见稿，文内联合研究院、数隐、BG法务等团队在前期沟通的基础上，共同研提建议、补充论证。核心意见包括：（1）明确限定《办法》的适用场景为重要数据处理者处理重要数据的年度风险评估场景，排除其他无关场景；（2）增补完善相关条款，切实避免重复性评估、重复性检查；（3）删除或限缩指定评估的场景。后续，文内将继续根据所提意见向甲方做好沟通和影响。  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《大型平台个人信息规定》意见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 xml:space="preserve">针对此次公开征求意见，文内联合研究院、数隐、法务、技术等团队在前期反馈的基础上，共同研提建议、补充论证，并于本周正式反馈数据局。核心意见主要包括：限缩大型网络平台的认定范围；基于“管用分离”实践，将数据中心管理规范聚焦于IDC业务，排除物理机房；优化数据可携权条款，增设实施限制条件。后续文内将继续向甲方做好沟通。  </w:t>
      </w:r>
    </w:p>
    <w:p>
      <w:pPr>
        <w:pStyle w:val="zyvx53"/>
        <w:numPr>
          <w:ilvl w:val="0"/>
          <w:numId w:val="2"/>
        </w:numPr>
        <w:spacing w:line="560" w:lineRule="exact"/>
        <w:ind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第二批关基认定进展（中央已批复名单）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>第二批关基认定名单报告已获中央批复。目前办里已准备向各保护部门通知认定批复情况，并要求保护部门根据行业实际做好关基安全具体保护相关计划。后续文内继续跟进保护部门最新进展和合规要求，及时联动产品侧做好政策沟通和下一步合规细节讨论。</w:t>
      </w:r>
    </w:p>
    <w:p>
      <w:pPr>
        <w:pStyle w:val="zyvx53"/>
        <w:numPr>
          <w:ilvl w:val="0"/>
          <w:numId w:val="2"/>
        </w:numPr>
        <w:spacing w:line="560" w:lineRule="exact"/>
        <w:ind/>
        <w:jc w:val="both"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网号工程二期规划（拟建全网黑灰产账号管理系统）</w:t>
      </w:r>
    </w:p>
    <w:p>
      <w:pPr>
        <w:pBdr>
          <w:bottom/>
        </w:pBdr>
        <w:snapToGrid/>
        <w:spacing w:line="560" w:lineRule="exact"/>
        <w:ind w:left="0"/>
        <w:jc w:val="both"/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</w:pPr>
      <w:r>
        <w:rPr>
          <w:rFonts w:ascii="仿宋_GB2312" w:hAnsi="仿宋_GB2312" w:eastAsia="仿宋_GB2312" w:cs="仿宋_GB2312"/>
          <w:i w:val="false"/>
          <w:strike w:val="false"/>
          <w:color w:val="333333"/>
          <w:sz w:val="24"/>
          <w:u w:val="none"/>
        </w:rPr>
        <w:t>专项局组织腾讯、阿里、蚂蚁、网易、微博、快手、小红书、知乎8家平台开展网号工作座谈会（抖音前期已汇报过），为做好网号工程二期规划了解平台进展与难点，并要求各家每月15日定期上报工作进展。文内结合业务实际情况反馈了用户使用习惯、网号安全性及黑灰产等问题，并了解到网信办拟在二期工程搭建系统进行网号账号管理，以赋能管网治网工作，如全网黑灰产账号、黑名单账号管理等。该规划短期内暂不会对平台产生影响，但长期看网号预计将成为技术治网的重要手段之一，团队跟进好、引导好。</w:t>
      </w:r>
    </w:p>
    <w:p>
      <w:pPr>
        <w:pStyle w:val="zyvx53"/>
        <w:numPr>
          <w:ilvl w:val="0"/>
          <w:numId w:val="2"/>
        </w:numPr>
        <w:pBdr>
          <w:bottom/>
        </w:pBdr>
        <w:spacing w:line="560" w:lineRule="exact"/>
        <w:ind/>
        <w:outlineLvl w:val="9"/>
        <w:rPr>
          <w:rFonts w:ascii="仿宋_GB2312" w:hAnsi="仿宋_GB2312" w:eastAsia="仿宋_GB2312" w:cs="仿宋_GB2312"/>
          <w:sz w:val="24"/>
        </w:rPr>
      </w:pPr>
      <w:r>
        <w:rPr>
          <w:rFonts w:ascii="仿宋_GB2312" w:hAnsi="仿宋_GB2312" w:eastAsia="仿宋_GB2312" w:cs="仿宋_GB2312"/>
          <w:sz w:val="24"/>
        </w:rPr>
        <w:t>快手事件——平台管控能力考验</w:t>
      </w:r>
    </w:p>
    <w:p>
      <w:pPr>
        <w:pStyle w:val="zyvx53"/>
        <w:pBdr>
          <w:bottom/>
        </w:pBdr>
        <w:spacing w:line="560" w:lineRule="exact"/>
        <w:ind w:left="0"/>
        <w:jc w:val="both"/>
        <w:outlineLvl w:val="9"/>
        <w:rPr>
          <w:rFonts w:ascii="仿宋_GB2312" w:hAnsi="仿宋_GB2312" w:eastAsia="仿宋_GB2312" w:cs="仿宋_GB2312"/>
          <w:sz w:val="24"/>
        </w:rPr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before="0" w:after="0" w:line="560" w:lineRule="exact"/>
        <w:ind w:left="0" w:right="0"/>
        <w:jc w:val="both"/>
        <w:rPr>
          <w:rFonts w:ascii="仿宋_GB2312" w:hAnsi="仿宋_GB2312" w:eastAsia="仿宋_GB2312" w:cs="仿宋_GB2312"/>
          <w:i w:val="false"/>
          <w:strike w:val="false"/>
          <w:color w:val="000000"/>
          <w:sz w:val="24"/>
          <w:u w:val="none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)"/>
      <w:lvlJc w:val="left"/>
      <w:pPr>
        <w:ind w:left="209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  <w:spacing w:val="0"/>
      </w:rPr>
    </w:lvl>
    <w:lvl w:ilvl="2">
      <w:start w:val="1"/>
      <w:numFmt w:val="lowerRoman"/>
      <w:lvlText w:val="%3)"/>
      <w:lvlJc w:val="left"/>
      <w:pPr>
        <w:ind w:left="121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</w:abstractNum>
  <w:abstractNum w:abstractNumId="2">
    <w:lvl w:ilvl="4">
      <w:start w:val="1"/>
      <w:numFmt w:val="decimal"/>
      <w:lvlText w:val="%5、"/>
      <w:lvlJc w:val="left"/>
      <w:pPr>
        <w:ind w:left="209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7">
      <w:start w:val="1"/>
      <w:numFmt w:val="decimal"/>
      <w:lvlText w:val="%8、"/>
      <w:lvlJc w:val="left"/>
      <w:pPr>
        <w:ind w:left="3416" w:hanging="336"/>
      </w:pPr>
    </w:lvl>
  </w:abstractNum>
  <w:num w:numId="1">
    <w:abstractNumId w:val="2"/>
  </w:num>
  <w:num w:numId="2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0z8s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tty2n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sfujuv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l23cr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2w8x4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w8qy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yvx5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frc4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q5xnx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xlh30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lak1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2026-03-28T19:54:52Z</dcterms:created>
  <dcterms:modified xsi:type="dcterms:W3CDTF">2026-03-28T19:54:52Z</dcterms:modified>
</cp:coreProperties>
</file>