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050" w:rsidRDefault="009B4422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产品构思</w:t>
      </w:r>
    </w:p>
    <w:p w:rsidR="00302050" w:rsidRDefault="009B4422">
      <w:pPr>
        <w:pStyle w:val="1"/>
      </w:pPr>
      <w:r>
        <w:rPr>
          <w:rFonts w:hint="eastAsia"/>
        </w:rPr>
        <w:t>问题描述</w:t>
      </w:r>
    </w:p>
    <w:p w:rsidR="00E553C9" w:rsidRPr="008F7CC0" w:rsidRDefault="00E553C9" w:rsidP="00E553C9">
      <w:pPr>
        <w:pStyle w:val="a7"/>
        <w:numPr>
          <w:ilvl w:val="0"/>
          <w:numId w:val="6"/>
        </w:numPr>
        <w:ind w:firstLineChars="0"/>
        <w:rPr>
          <w:sz w:val="32"/>
          <w:szCs w:val="32"/>
        </w:rPr>
      </w:pPr>
      <w:r w:rsidRPr="008F7CC0">
        <w:rPr>
          <w:rFonts w:hint="eastAsia"/>
          <w:sz w:val="32"/>
          <w:szCs w:val="32"/>
        </w:rPr>
        <w:t>随着时代的发展，目前儿童的学前教育存在以下问题：</w:t>
      </w:r>
    </w:p>
    <w:p w:rsidR="00E553C9" w:rsidRPr="008F7CC0" w:rsidRDefault="00E553C9" w:rsidP="00E553C9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8F7CC0">
        <w:rPr>
          <w:rFonts w:hint="eastAsia"/>
          <w:sz w:val="28"/>
          <w:szCs w:val="28"/>
        </w:rPr>
        <w:t>城市生活的节奏越来越快，工作压力越来越大，很多家长忙于工作，根本没有时间教育孩子，对孩子进行正确的引导。</w:t>
      </w:r>
    </w:p>
    <w:p w:rsidR="00E553C9" w:rsidRPr="008F7CC0" w:rsidRDefault="00E553C9" w:rsidP="00E553C9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8F7CC0">
        <w:rPr>
          <w:rFonts w:hint="eastAsia"/>
          <w:sz w:val="28"/>
          <w:szCs w:val="28"/>
        </w:rPr>
        <w:t>好多家长选择让长辈带孩子，但是由于长辈的观念跟不上时代的发展，而且长辈比较偏爱孩子，导致很多孩子养成不好的学习习惯</w:t>
      </w:r>
    </w:p>
    <w:p w:rsidR="00E553C9" w:rsidRPr="008F7CC0" w:rsidRDefault="00E553C9" w:rsidP="00E553C9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8F7CC0">
        <w:rPr>
          <w:rFonts w:hint="eastAsia"/>
          <w:sz w:val="28"/>
          <w:szCs w:val="28"/>
        </w:rPr>
        <w:t>生活中也有很多学前教育的图书，但是需要家长到实体</w:t>
      </w:r>
      <w:proofErr w:type="gramStart"/>
      <w:r w:rsidRPr="008F7CC0">
        <w:rPr>
          <w:rFonts w:hint="eastAsia"/>
          <w:sz w:val="28"/>
          <w:szCs w:val="28"/>
        </w:rPr>
        <w:t>店或者</w:t>
      </w:r>
      <w:proofErr w:type="gramEnd"/>
      <w:r w:rsidRPr="008F7CC0">
        <w:rPr>
          <w:rFonts w:hint="eastAsia"/>
          <w:sz w:val="28"/>
          <w:szCs w:val="28"/>
        </w:rPr>
        <w:t>互联网店铺挑选购买，缺乏便利性</w:t>
      </w:r>
    </w:p>
    <w:p w:rsidR="00302050" w:rsidRPr="00E553C9" w:rsidRDefault="00E553C9" w:rsidP="00E553C9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8F7CC0">
        <w:rPr>
          <w:rFonts w:hint="eastAsia"/>
          <w:sz w:val="28"/>
          <w:szCs w:val="28"/>
        </w:rPr>
        <w:t>目前市场上也有</w:t>
      </w:r>
      <w:r>
        <w:rPr>
          <w:rFonts w:hint="eastAsia"/>
          <w:sz w:val="28"/>
          <w:szCs w:val="28"/>
        </w:rPr>
        <w:t>关于儿童教育</w:t>
      </w:r>
      <w:r w:rsidRPr="008F7CC0">
        <w:rPr>
          <w:rFonts w:hint="eastAsia"/>
          <w:sz w:val="28"/>
          <w:szCs w:val="28"/>
        </w:rPr>
        <w:t>的</w:t>
      </w:r>
      <w:r w:rsidRPr="008F7CC0">
        <w:rPr>
          <w:rFonts w:hint="eastAsia"/>
          <w:sz w:val="28"/>
          <w:szCs w:val="28"/>
        </w:rPr>
        <w:t>a</w:t>
      </w:r>
      <w:r w:rsidRPr="008F7CC0">
        <w:rPr>
          <w:sz w:val="28"/>
          <w:szCs w:val="28"/>
        </w:rPr>
        <w:t>pp</w:t>
      </w:r>
      <w:r w:rsidRPr="008F7CC0">
        <w:rPr>
          <w:rFonts w:hint="eastAsia"/>
          <w:sz w:val="28"/>
          <w:szCs w:val="28"/>
        </w:rPr>
        <w:t>，但是可能内容比较单一，内容的学习形式也比较单一，缺少综合性</w:t>
      </w:r>
      <w:r>
        <w:rPr>
          <w:rFonts w:hint="eastAsia"/>
          <w:sz w:val="28"/>
          <w:szCs w:val="28"/>
        </w:rPr>
        <w:t>。</w:t>
      </w:r>
    </w:p>
    <w:p w:rsidR="00302050" w:rsidRDefault="009B4422">
      <w:pPr>
        <w:pStyle w:val="1"/>
      </w:pPr>
      <w:proofErr w:type="gramStart"/>
      <w:r>
        <w:rPr>
          <w:rFonts w:hint="eastAsia"/>
        </w:rPr>
        <w:t>产</w:t>
      </w:r>
      <w:r>
        <w:rPr>
          <w:rFonts w:hint="eastAsia"/>
        </w:rPr>
        <w:t>品愿景和</w:t>
      </w:r>
      <w:proofErr w:type="gramEnd"/>
      <w:r>
        <w:rPr>
          <w:rFonts w:hint="eastAsia"/>
        </w:rPr>
        <w:t>商业机会</w:t>
      </w:r>
    </w:p>
    <w:p w:rsidR="00E553C9" w:rsidRDefault="00E553C9" w:rsidP="00E553C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为工作忙碌的家长提供一款便捷的工具帮助孩子学习，锻炼孩子的思维，拓宽孩子的眼界，培养孩子的学习兴趣。</w:t>
      </w:r>
      <w:r>
        <w:rPr>
          <w:b/>
          <w:sz w:val="28"/>
          <w:szCs w:val="28"/>
        </w:rPr>
        <w:t xml:space="preserve"> </w:t>
      </w:r>
    </w:p>
    <w:p w:rsidR="00E553C9" w:rsidRDefault="00E553C9" w:rsidP="00E553C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商业机会：</w:t>
      </w:r>
    </w:p>
    <w:p w:rsidR="00E553C9" w:rsidRDefault="00E553C9" w:rsidP="00E553C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用户群主要定位于上班族中的父母，用户群体足够大；</w:t>
      </w:r>
    </w:p>
    <w:p w:rsidR="00E553C9" w:rsidRDefault="00E553C9" w:rsidP="00E553C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利用电子优势，下载便捷，使用便捷；</w:t>
      </w:r>
    </w:p>
    <w:p w:rsidR="00E553C9" w:rsidRPr="00446947" w:rsidRDefault="00E553C9" w:rsidP="00E553C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446947">
        <w:rPr>
          <w:rFonts w:hint="eastAsia"/>
          <w:sz w:val="28"/>
          <w:szCs w:val="28"/>
        </w:rPr>
        <w:t>动画的形式能够更加直观的表达故事内容，使孩子们产生兴趣，</w:t>
      </w:r>
      <w:r w:rsidRPr="00446947">
        <w:rPr>
          <w:rFonts w:hint="eastAsia"/>
          <w:sz w:val="28"/>
          <w:szCs w:val="28"/>
        </w:rPr>
        <w:lastRenderedPageBreak/>
        <w:t>乐于学习</w:t>
      </w:r>
      <w:r>
        <w:rPr>
          <w:rFonts w:hint="eastAsia"/>
          <w:sz w:val="28"/>
          <w:szCs w:val="28"/>
        </w:rPr>
        <w:t>。</w:t>
      </w:r>
    </w:p>
    <w:p w:rsidR="00E553C9" w:rsidRDefault="00E553C9" w:rsidP="00E553C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商业模式</w:t>
      </w:r>
    </w:p>
    <w:p w:rsidR="00E553C9" w:rsidRDefault="00E553C9" w:rsidP="00E553C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</w:t>
      </w:r>
    </w:p>
    <w:p w:rsidR="00E553C9" w:rsidRDefault="00E553C9" w:rsidP="00E553C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下载次数竞争排名</w:t>
      </w:r>
    </w:p>
    <w:p w:rsidR="00302050" w:rsidRDefault="00302050"/>
    <w:p w:rsidR="00302050" w:rsidRDefault="009B4422">
      <w:pPr>
        <w:pStyle w:val="1"/>
      </w:pPr>
      <w:r>
        <w:rPr>
          <w:rFonts w:hint="eastAsia"/>
        </w:rPr>
        <w:t>用户分析</w:t>
      </w:r>
    </w:p>
    <w:p w:rsidR="00E553C9" w:rsidRPr="00E553C9" w:rsidRDefault="00E553C9" w:rsidP="00E553C9">
      <w:pPr>
        <w:widowControl/>
        <w:spacing w:line="360" w:lineRule="auto"/>
        <w:rPr>
          <w:sz w:val="28"/>
          <w:szCs w:val="28"/>
        </w:rPr>
      </w:pPr>
      <w:r w:rsidRPr="00E553C9">
        <w:rPr>
          <w:rFonts w:hint="eastAsia"/>
          <w:sz w:val="28"/>
          <w:szCs w:val="28"/>
        </w:rPr>
        <w:t>本</w:t>
      </w:r>
      <w:r w:rsidRPr="00E553C9">
        <w:rPr>
          <w:rFonts w:hint="eastAsia"/>
          <w:sz w:val="28"/>
          <w:szCs w:val="28"/>
        </w:rPr>
        <w:t>a</w:t>
      </w:r>
      <w:r w:rsidRPr="00E553C9">
        <w:rPr>
          <w:sz w:val="28"/>
          <w:szCs w:val="28"/>
        </w:rPr>
        <w:t>pp</w:t>
      </w:r>
      <w:r w:rsidRPr="00E553C9">
        <w:rPr>
          <w:rFonts w:hint="eastAsia"/>
          <w:sz w:val="28"/>
          <w:szCs w:val="28"/>
        </w:rPr>
        <w:t>主要服务用户：儿童</w:t>
      </w:r>
    </w:p>
    <w:p w:rsidR="00E553C9" w:rsidRPr="00E553C9" w:rsidRDefault="00E553C9" w:rsidP="00E553C9">
      <w:pPr>
        <w:widowControl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E553C9">
        <w:rPr>
          <w:rFonts w:hint="eastAsia"/>
          <w:b/>
          <w:sz w:val="28"/>
          <w:szCs w:val="28"/>
        </w:rPr>
        <w:t>从父母的角度出发</w:t>
      </w:r>
      <w:r w:rsidRPr="00E553C9">
        <w:rPr>
          <w:rFonts w:hint="eastAsia"/>
          <w:sz w:val="28"/>
          <w:szCs w:val="28"/>
        </w:rPr>
        <w:t>：</w:t>
      </w:r>
    </w:p>
    <w:p w:rsidR="00E553C9" w:rsidRPr="00E553C9" w:rsidRDefault="00E553C9" w:rsidP="00E553C9">
      <w:pPr>
        <w:widowControl/>
        <w:spacing w:line="360" w:lineRule="auto"/>
        <w:ind w:left="1260"/>
        <w:rPr>
          <w:sz w:val="28"/>
          <w:szCs w:val="28"/>
        </w:rPr>
      </w:pPr>
      <w:r w:rsidRPr="00E553C9">
        <w:rPr>
          <w:sz w:val="28"/>
          <w:szCs w:val="28"/>
        </w:rPr>
        <w:tab/>
      </w:r>
      <w:r w:rsidRPr="00E553C9">
        <w:rPr>
          <w:rFonts w:hint="eastAsia"/>
          <w:sz w:val="28"/>
          <w:szCs w:val="28"/>
        </w:rPr>
        <w:t>父母都是望子成龙，望女成凤，但是自己又没有太多的时间来引导教育孩子，学前教育</w:t>
      </w:r>
      <w:r w:rsidRPr="00E553C9">
        <w:rPr>
          <w:rFonts w:hint="eastAsia"/>
          <w:sz w:val="28"/>
          <w:szCs w:val="28"/>
        </w:rPr>
        <w:t>a</w:t>
      </w:r>
      <w:r w:rsidRPr="00E553C9">
        <w:rPr>
          <w:sz w:val="28"/>
          <w:szCs w:val="28"/>
        </w:rPr>
        <w:t>pp</w:t>
      </w:r>
      <w:r w:rsidRPr="00E553C9">
        <w:rPr>
          <w:rFonts w:hint="eastAsia"/>
          <w:sz w:val="28"/>
          <w:szCs w:val="28"/>
        </w:rPr>
        <w:t>可以帮助他们很好的解决时间问题，代替她们以另一种方式培养孩子的学习兴趣等其他方面的能力。</w:t>
      </w:r>
    </w:p>
    <w:p w:rsidR="00E553C9" w:rsidRPr="00E553C9" w:rsidRDefault="00E553C9" w:rsidP="00E553C9">
      <w:pPr>
        <w:widowControl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E553C9">
        <w:rPr>
          <w:rFonts w:hint="eastAsia"/>
          <w:b/>
          <w:sz w:val="28"/>
          <w:szCs w:val="28"/>
        </w:rPr>
        <w:t>从儿童角度出发</w:t>
      </w:r>
      <w:r w:rsidRPr="00E553C9">
        <w:rPr>
          <w:rFonts w:hint="eastAsia"/>
          <w:sz w:val="28"/>
          <w:szCs w:val="28"/>
        </w:rPr>
        <w:t>：</w:t>
      </w:r>
    </w:p>
    <w:p w:rsidR="00E553C9" w:rsidRPr="00E553C9" w:rsidRDefault="00E553C9" w:rsidP="00E553C9">
      <w:pPr>
        <w:widowControl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E553C9">
        <w:rPr>
          <w:rFonts w:hint="eastAsia"/>
          <w:sz w:val="28"/>
          <w:szCs w:val="28"/>
        </w:rPr>
        <w:t>儿童处于对世界充满好奇的阶段，需要引导他们正确的认识世界，学前教育</w:t>
      </w:r>
      <w:r w:rsidRPr="00E553C9">
        <w:rPr>
          <w:rFonts w:hint="eastAsia"/>
          <w:sz w:val="28"/>
          <w:szCs w:val="28"/>
        </w:rPr>
        <w:t>a</w:t>
      </w:r>
      <w:r w:rsidRPr="00E553C9">
        <w:rPr>
          <w:sz w:val="28"/>
          <w:szCs w:val="28"/>
        </w:rPr>
        <w:t>pp</w:t>
      </w:r>
      <w:r w:rsidRPr="00E553C9">
        <w:rPr>
          <w:rFonts w:hint="eastAsia"/>
          <w:sz w:val="28"/>
          <w:szCs w:val="28"/>
        </w:rPr>
        <w:t>可以通过动画的形式生动的变现出现实生活中的实物的特征；</w:t>
      </w:r>
    </w:p>
    <w:p w:rsidR="00E553C9" w:rsidRPr="00E553C9" w:rsidRDefault="00E553C9" w:rsidP="00E553C9">
      <w:pPr>
        <w:widowControl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E553C9">
        <w:rPr>
          <w:rFonts w:hint="eastAsia"/>
          <w:sz w:val="28"/>
          <w:szCs w:val="28"/>
        </w:rPr>
        <w:t>儿童学前教育尤为重要，可以锻炼他们的思维能力，帮助他们培养学习兴趣，为以后的学习打下基础。</w:t>
      </w:r>
    </w:p>
    <w:p w:rsidR="00E553C9" w:rsidRPr="00E553C9" w:rsidRDefault="00E553C9" w:rsidP="00E553C9">
      <w:pPr>
        <w:widowControl/>
        <w:spacing w:line="360" w:lineRule="auto"/>
        <w:ind w:left="840"/>
        <w:rPr>
          <w:sz w:val="28"/>
          <w:szCs w:val="28"/>
        </w:rPr>
      </w:pPr>
    </w:p>
    <w:p w:rsidR="00302050" w:rsidRPr="00E553C9" w:rsidRDefault="00302050"/>
    <w:p w:rsidR="00302050" w:rsidRDefault="00302050"/>
    <w:p w:rsidR="00302050" w:rsidRDefault="009B4422">
      <w:pPr>
        <w:pStyle w:val="1"/>
      </w:pPr>
      <w:r>
        <w:rPr>
          <w:rFonts w:hint="eastAsia"/>
        </w:rPr>
        <w:lastRenderedPageBreak/>
        <w:t>技术分析</w:t>
      </w:r>
    </w:p>
    <w:p w:rsidR="00302050" w:rsidRDefault="009B4422">
      <w:pPr>
        <w:pStyle w:val="a3"/>
      </w:pPr>
      <w:r>
        <w:rPr>
          <w:rFonts w:hint="eastAsia"/>
        </w:rPr>
        <w:t>采用的技术架构</w:t>
      </w:r>
    </w:p>
    <w:p w:rsidR="00E553C9" w:rsidRPr="00187FD7" w:rsidRDefault="00E553C9" w:rsidP="00E553C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ionic</w:t>
      </w:r>
      <w:r>
        <w:rPr>
          <w:rFonts w:hint="eastAsia"/>
          <w:sz w:val="28"/>
          <w:szCs w:val="28"/>
        </w:rPr>
        <w:t>框架开发。后台用</w:t>
      </w:r>
      <w:r>
        <w:rPr>
          <w:rFonts w:hint="eastAsia"/>
          <w:sz w:val="28"/>
          <w:szCs w:val="28"/>
        </w:rPr>
        <w:t>React</w:t>
      </w:r>
      <w:r>
        <w:rPr>
          <w:rFonts w:hint="eastAsia"/>
          <w:sz w:val="28"/>
          <w:szCs w:val="28"/>
        </w:rPr>
        <w:t>开发。</w:t>
      </w:r>
      <w:r w:rsidRPr="00187FD7">
        <w:rPr>
          <w:rFonts w:hint="eastAsia"/>
          <w:sz w:val="28"/>
          <w:szCs w:val="28"/>
        </w:rPr>
        <w:t>后端技术采用</w:t>
      </w:r>
      <w:proofErr w:type="spellStart"/>
      <w:r>
        <w:rPr>
          <w:rFonts w:hint="eastAsia"/>
          <w:sz w:val="28"/>
          <w:szCs w:val="28"/>
        </w:rPr>
        <w:t>EXPRESS+MySQL</w:t>
      </w:r>
      <w:proofErr w:type="spellEnd"/>
      <w:r>
        <w:rPr>
          <w:rFonts w:hint="eastAsia"/>
          <w:sz w:val="28"/>
          <w:szCs w:val="28"/>
        </w:rPr>
        <w:t>。</w:t>
      </w:r>
    </w:p>
    <w:p w:rsidR="00302050" w:rsidRDefault="009B4422">
      <w:pPr>
        <w:pStyle w:val="a3"/>
      </w:pPr>
      <w:r>
        <w:rPr>
          <w:rFonts w:hint="eastAsia"/>
        </w:rPr>
        <w:t>平台</w:t>
      </w:r>
    </w:p>
    <w:p w:rsidR="00302050" w:rsidRDefault="009B44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553C9">
        <w:rPr>
          <w:rFonts w:hint="eastAsia"/>
          <w:sz w:val="28"/>
          <w:szCs w:val="28"/>
        </w:rPr>
        <w:t>初步计划采用阿里云的云服务器，域名等。</w:t>
      </w:r>
    </w:p>
    <w:p w:rsidR="00302050" w:rsidRDefault="009B4422">
      <w:pPr>
        <w:pStyle w:val="a3"/>
      </w:pPr>
      <w:r>
        <w:rPr>
          <w:rFonts w:hint="eastAsia"/>
        </w:rPr>
        <w:t>软硬件、网络支持</w:t>
      </w:r>
    </w:p>
    <w:p w:rsidR="00BD0E13" w:rsidRPr="00187FD7" w:rsidRDefault="00BD0E13" w:rsidP="00BD0E1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CDN</w:t>
      </w:r>
      <w:r>
        <w:rPr>
          <w:rFonts w:hint="eastAsia"/>
          <w:sz w:val="28"/>
          <w:szCs w:val="28"/>
        </w:rPr>
        <w:t>加速静态内容。和使用带宽、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可以弹性伸缩服务器。</w:t>
      </w:r>
    </w:p>
    <w:p w:rsidR="00302050" w:rsidRDefault="009B4422">
      <w:pPr>
        <w:pStyle w:val="a3"/>
      </w:pPr>
      <w:r>
        <w:rPr>
          <w:rFonts w:hint="eastAsia"/>
        </w:rPr>
        <w:t>技术难点</w:t>
      </w:r>
    </w:p>
    <w:p w:rsidR="00302050" w:rsidRPr="00BD0E13" w:rsidRDefault="009B44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D0E13">
        <w:rPr>
          <w:rFonts w:hint="eastAsia"/>
          <w:sz w:val="28"/>
          <w:szCs w:val="28"/>
        </w:rPr>
        <w:t>服务器管理，数据库管理</w:t>
      </w:r>
    </w:p>
    <w:p w:rsidR="00302050" w:rsidRDefault="009B4422">
      <w:pPr>
        <w:pStyle w:val="1"/>
      </w:pPr>
      <w:r>
        <w:rPr>
          <w:rFonts w:hint="eastAsia"/>
        </w:rPr>
        <w:t>资源需求估计</w:t>
      </w:r>
    </w:p>
    <w:p w:rsidR="00302050" w:rsidRDefault="009B4422">
      <w:pPr>
        <w:pStyle w:val="a3"/>
      </w:pPr>
      <w:r>
        <w:rPr>
          <w:rFonts w:hint="eastAsia"/>
        </w:rPr>
        <w:t>人员</w:t>
      </w:r>
    </w:p>
    <w:p w:rsidR="00BD0E13" w:rsidRDefault="00BD0E13" w:rsidP="00BD0E1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产品经理：依据本产品的商业背景和定位，制定开发计划</w:t>
      </w:r>
    </w:p>
    <w:p w:rsidR="00BD0E13" w:rsidRDefault="00BD0E13" w:rsidP="00BD0E1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后端开发人员：负责后台框架开发，数据库管理</w:t>
      </w:r>
    </w:p>
    <w:p w:rsidR="00BD0E13" w:rsidRDefault="00BD0E13" w:rsidP="00BD0E1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测试部：负责项目测试</w:t>
      </w:r>
    </w:p>
    <w:p w:rsidR="00BD0E13" w:rsidRDefault="00BD0E13" w:rsidP="00BD0E1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前端设计人员：负责页面设计优化</w:t>
      </w:r>
    </w:p>
    <w:p w:rsidR="00302050" w:rsidRDefault="009B4422">
      <w:pPr>
        <w:pStyle w:val="a3"/>
      </w:pPr>
      <w:r>
        <w:rPr>
          <w:rFonts w:hint="eastAsia"/>
        </w:rPr>
        <w:t>资金</w:t>
      </w:r>
    </w:p>
    <w:p w:rsidR="00BD0E13" w:rsidRDefault="00BD0E13" w:rsidP="00BD0E1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前期需要开发人员购买服务器等，花费少量资金。后期需要资金</w:t>
      </w:r>
      <w:r>
        <w:rPr>
          <w:rFonts w:hint="eastAsia"/>
          <w:sz w:val="28"/>
          <w:szCs w:val="28"/>
        </w:rPr>
        <w:lastRenderedPageBreak/>
        <w:t>上线宣传推广；</w:t>
      </w:r>
    </w:p>
    <w:p w:rsidR="00302050" w:rsidRDefault="009B4422">
      <w:pPr>
        <w:pStyle w:val="a3"/>
      </w:pPr>
      <w:r>
        <w:rPr>
          <w:rFonts w:hint="eastAsia"/>
        </w:rPr>
        <w:t>设备</w:t>
      </w:r>
    </w:p>
    <w:p w:rsidR="00302050" w:rsidRDefault="009B44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D0E13">
        <w:rPr>
          <w:rFonts w:hint="eastAsia"/>
          <w:sz w:val="28"/>
          <w:szCs w:val="28"/>
        </w:rPr>
        <w:t>ESC</w:t>
      </w:r>
      <w:r w:rsidR="00BD0E13">
        <w:rPr>
          <w:rFonts w:hint="eastAsia"/>
          <w:sz w:val="28"/>
          <w:szCs w:val="28"/>
        </w:rPr>
        <w:t>服务器。个人电脑</w:t>
      </w:r>
    </w:p>
    <w:p w:rsidR="00302050" w:rsidRDefault="009B4422">
      <w:pPr>
        <w:pStyle w:val="a3"/>
      </w:pPr>
      <w:r>
        <w:rPr>
          <w:rFonts w:hint="eastAsia"/>
        </w:rPr>
        <w:t>设施</w:t>
      </w:r>
    </w:p>
    <w:p w:rsidR="00302050" w:rsidRPr="00BD0E13" w:rsidRDefault="009B44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D0E13">
        <w:rPr>
          <w:rFonts w:hint="eastAsia"/>
          <w:sz w:val="28"/>
          <w:szCs w:val="28"/>
        </w:rPr>
        <w:t>教室</w:t>
      </w:r>
    </w:p>
    <w:p w:rsidR="00302050" w:rsidRDefault="009B4422">
      <w:pPr>
        <w:pStyle w:val="1"/>
      </w:pPr>
      <w:r>
        <w:rPr>
          <w:rFonts w:hint="eastAsia"/>
        </w:rPr>
        <w:t>风险分析</w:t>
      </w:r>
    </w:p>
    <w:p w:rsidR="00302050" w:rsidRDefault="00302050"/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3"/>
        <w:gridCol w:w="1804"/>
        <w:gridCol w:w="9297"/>
      </w:tblGrid>
      <w:tr w:rsidR="00BD0E13" w:rsidTr="00276262">
        <w:tc>
          <w:tcPr>
            <w:tcW w:w="534" w:type="dxa"/>
          </w:tcPr>
          <w:p w:rsidR="00BD0E13" w:rsidRDefault="00BD0E13" w:rsidP="0027626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BD0E13" w:rsidRDefault="00BD0E13" w:rsidP="0027626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BD0E13" w:rsidRDefault="00BD0E13" w:rsidP="0027626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</w:tr>
      <w:tr w:rsidR="00BD0E13" w:rsidTr="00276262">
        <w:tc>
          <w:tcPr>
            <w:tcW w:w="534" w:type="dxa"/>
          </w:tcPr>
          <w:p w:rsidR="00BD0E13" w:rsidRDefault="00BD0E13" w:rsidP="002762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BD0E13" w:rsidRDefault="00BD0E13" w:rsidP="002762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家长认可度不高</w:t>
            </w:r>
          </w:p>
        </w:tc>
        <w:tc>
          <w:tcPr>
            <w:tcW w:w="8505" w:type="dxa"/>
          </w:tcPr>
          <w:p w:rsidR="00BD0E13" w:rsidRDefault="00BD0E13" w:rsidP="002762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家长可能觉得电子产品对孩子有负面，不能很好地接受</w:t>
            </w:r>
          </w:p>
        </w:tc>
      </w:tr>
      <w:tr w:rsidR="00BD0E13" w:rsidTr="00276262">
        <w:tc>
          <w:tcPr>
            <w:tcW w:w="534" w:type="dxa"/>
          </w:tcPr>
          <w:p w:rsidR="00BD0E13" w:rsidRDefault="00BD0E13" w:rsidP="002762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BD0E13" w:rsidRDefault="00BD0E13" w:rsidP="0027626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开发人员不足</w:t>
            </w:r>
          </w:p>
        </w:tc>
        <w:tc>
          <w:tcPr>
            <w:tcW w:w="8505" w:type="dxa"/>
          </w:tcPr>
          <w:p w:rsidR="00BD0E13" w:rsidRDefault="00BD0E13" w:rsidP="002762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开发团队能力有限，可能有些难题难以解决</w:t>
            </w:r>
          </w:p>
        </w:tc>
      </w:tr>
      <w:tr w:rsidR="00BD0E13" w:rsidTr="00276262">
        <w:tc>
          <w:tcPr>
            <w:tcW w:w="534" w:type="dxa"/>
          </w:tcPr>
          <w:p w:rsidR="00BD0E13" w:rsidRDefault="00BD0E13" w:rsidP="002762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BD0E13" w:rsidRDefault="00BD0E13" w:rsidP="0027626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开发资金不足</w:t>
            </w:r>
          </w:p>
        </w:tc>
        <w:tc>
          <w:tcPr>
            <w:tcW w:w="8505" w:type="dxa"/>
          </w:tcPr>
          <w:p w:rsidR="00BD0E13" w:rsidRDefault="00BD0E13" w:rsidP="002762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产品宣传推广需要资金，</w:t>
            </w:r>
          </w:p>
        </w:tc>
      </w:tr>
    </w:tbl>
    <w:p w:rsidR="00302050" w:rsidRPr="00BD0E13" w:rsidRDefault="00302050"/>
    <w:p w:rsidR="00302050" w:rsidRDefault="009B4422">
      <w:pPr>
        <w:pStyle w:val="1"/>
      </w:pPr>
      <w:r>
        <w:rPr>
          <w:rFonts w:hint="eastAsia"/>
        </w:rPr>
        <w:t>收益分析</w:t>
      </w:r>
    </w:p>
    <w:p w:rsidR="00302050" w:rsidRDefault="009B4422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302050" w:rsidRDefault="009B442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 w:rsidR="00BD0E13">
        <w:rPr>
          <w:rFonts w:ascii="仿宋_GB2312" w:eastAsia="仿宋_GB2312"/>
          <w:sz w:val="28"/>
          <w:szCs w:val="28"/>
        </w:rPr>
        <w:t>8</w:t>
      </w:r>
      <w:r>
        <w:rPr>
          <w:rFonts w:ascii="仿宋_GB2312" w:eastAsia="仿宋_GB2312" w:hint="eastAsia"/>
          <w:sz w:val="28"/>
          <w:szCs w:val="28"/>
        </w:rPr>
        <w:t>%</w:t>
      </w:r>
    </w:p>
    <w:p w:rsidR="00302050" w:rsidRDefault="009B442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 w:rsidR="00BD0E13">
        <w:rPr>
          <w:rFonts w:ascii="仿宋_GB2312" w:eastAsia="仿宋_GB2312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302050" w:rsidRDefault="009B442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 w:rsidR="00BD0E13"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 w:rsidR="00BD0E13">
        <w:rPr>
          <w:rFonts w:ascii="仿宋_GB2312" w:eastAsia="仿宋_GB2312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302050" w:rsidRDefault="009B442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 w:rsidR="00BD0E13">
        <w:rPr>
          <w:rFonts w:ascii="仿宋_GB2312" w:eastAsia="仿宋_GB2312"/>
          <w:sz w:val="28"/>
          <w:szCs w:val="28"/>
        </w:rPr>
        <w:t>8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 w:rsidR="00BD0E13">
        <w:rPr>
          <w:rFonts w:ascii="仿宋_GB2312" w:eastAsia="仿宋_GB2312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 w:rsidR="00BD0E13">
        <w:rPr>
          <w:rFonts w:ascii="仿宋_GB2312" w:eastAsia="仿宋_GB2312"/>
          <w:sz w:val="28"/>
          <w:szCs w:val="28"/>
        </w:rPr>
        <w:t>25</w:t>
      </w:r>
      <w:r>
        <w:rPr>
          <w:rFonts w:ascii="仿宋_GB2312" w:eastAsia="仿宋_GB2312" w:hint="eastAsia"/>
          <w:sz w:val="28"/>
          <w:szCs w:val="28"/>
        </w:rPr>
        <w:t>万，</w:t>
      </w:r>
      <w:r w:rsidR="00BD0E13">
        <w:rPr>
          <w:rFonts w:ascii="仿宋_GB2312" w:eastAsia="仿宋_GB2312"/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698"/>
        <w:gridCol w:w="1633"/>
        <w:gridCol w:w="1633"/>
        <w:gridCol w:w="1633"/>
      </w:tblGrid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折现率</w:t>
            </w: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>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%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周期</w:t>
            </w: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汇总</w:t>
            </w: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预计成本</w:t>
            </w: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50000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50000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折现因子</w:t>
            </w: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.93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.86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.79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折现成本</w:t>
            </w: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>
              <w:rPr>
                <w:rFonts w:ascii="宋体" w:eastAsia="宋体" w:hAnsi="宋体"/>
                <w:sz w:val="28"/>
                <w:szCs w:val="28"/>
              </w:rPr>
              <w:t>3000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/>
                <w:sz w:val="28"/>
                <w:szCs w:val="28"/>
              </w:rPr>
              <w:t>3000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9500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75500</w:t>
            </w: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累计成本</w:t>
            </w: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>
              <w:rPr>
                <w:rFonts w:ascii="宋体" w:eastAsia="宋体" w:hAnsi="宋体"/>
                <w:sz w:val="28"/>
                <w:szCs w:val="28"/>
              </w:rPr>
              <w:t>3000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36000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75500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预计收益</w:t>
            </w: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  <w:r>
              <w:rPr>
                <w:rFonts w:ascii="宋体" w:eastAsia="宋体" w:hAnsi="宋体"/>
                <w:sz w:val="28"/>
                <w:szCs w:val="28"/>
              </w:rPr>
              <w:t>0000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250000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折现因子</w:t>
            </w: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.93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.86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.79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折现收益</w:t>
            </w: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>
              <w:rPr>
                <w:rFonts w:ascii="宋体" w:eastAsia="宋体" w:hAnsi="宋体"/>
                <w:sz w:val="28"/>
                <w:szCs w:val="28"/>
              </w:rPr>
              <w:t>4400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  <w:r>
              <w:rPr>
                <w:rFonts w:ascii="宋体" w:eastAsia="宋体" w:hAnsi="宋体"/>
                <w:sz w:val="28"/>
                <w:szCs w:val="28"/>
              </w:rPr>
              <w:t>6000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197500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361500</w:t>
            </w: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累计收益</w:t>
            </w: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>
              <w:rPr>
                <w:rFonts w:ascii="宋体" w:eastAsia="宋体" w:hAnsi="宋体"/>
                <w:sz w:val="28"/>
                <w:szCs w:val="28"/>
              </w:rPr>
              <w:t>4400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64000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361500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折现收益-折现成本</w:t>
            </w: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18600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/>
                <w:sz w:val="28"/>
                <w:szCs w:val="28"/>
              </w:rPr>
              <w:t>3000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58000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82400</w:t>
            </w: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累计收益-累计成本</w:t>
            </w: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18600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8000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186000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净现值</w:t>
            </w: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86000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投资收益率</w:t>
            </w: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06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%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4422" w:rsidTr="00276262">
        <w:tc>
          <w:tcPr>
            <w:tcW w:w="1699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投资回收期</w:t>
            </w:r>
          </w:p>
        </w:tc>
        <w:tc>
          <w:tcPr>
            <w:tcW w:w="1698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第2年</w:t>
            </w: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:rsidR="009B4422" w:rsidRDefault="009B4422" w:rsidP="0027626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302050" w:rsidRDefault="00302050">
      <w:pPr>
        <w:spacing w:line="360" w:lineRule="auto"/>
      </w:pPr>
      <w:bookmarkStart w:id="0" w:name="_GoBack"/>
      <w:bookmarkEnd w:id="0"/>
    </w:p>
    <w:p w:rsidR="00302050" w:rsidRDefault="00302050"/>
    <w:sectPr w:rsidR="00302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2F28B1"/>
    <w:multiLevelType w:val="hybridMultilevel"/>
    <w:tmpl w:val="20826B6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A6011A3"/>
    <w:multiLevelType w:val="hybridMultilevel"/>
    <w:tmpl w:val="4F888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5951DF"/>
    <w:multiLevelType w:val="hybridMultilevel"/>
    <w:tmpl w:val="442A851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EA578E"/>
    <w:multiLevelType w:val="hybridMultilevel"/>
    <w:tmpl w:val="52A28F2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7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2050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4422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0E1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553C9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18F6"/>
  <w15:docId w15:val="{A2361578-069C-4396-84E6-A0376F02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BD0E13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guoyanxia</cp:lastModifiedBy>
  <cp:revision>8</cp:revision>
  <dcterms:created xsi:type="dcterms:W3CDTF">2012-08-30T05:55:00Z</dcterms:created>
  <dcterms:modified xsi:type="dcterms:W3CDTF">2019-03-22T04:47:00Z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