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技术需求匹配结果</w:t>
      </w:r>
      <w:r>
        <w:rPr>
          <w:b/>
        </w:rPr>
      </w:r>
    </w:p>
    <w:p>
      <w:r>
        <w:rPr>
          <w:sz w:val="32"/>
        </w:rPr>
        <w:t>1. 技术需求来源</w:t>
      </w:r>
    </w:p>
    <w:p>
      <w:pPr>
        <w:ind w:firstLine="288"/>
      </w:pPr>
      <w:r>
        <w:rPr>
          <w:sz w:val="24"/>
        </w:rPr>
        <w:t>昆山国显光电有限公司</w:t>
      </w:r>
    </w:p>
    <w:p>
      <w:r>
        <w:rPr>
          <w:sz w:val="32"/>
        </w:rPr>
        <w:t>2. 技术需求描述</w:t>
      </w:r>
    </w:p>
    <w:p>
      <w:pPr>
        <w:ind w:firstLine="288"/>
      </w:pPr>
      <w:r>
        <w:rPr>
          <w:sz w:val="24"/>
        </w:rPr>
        <w:t xml:space="preserve"> 本产品需要*********技术</w:t>
      </w:r>
    </w:p>
    <w:p>
      <w:r>
        <w:rPr>
          <w:sz w:val="32"/>
        </w:rPr>
        <w:t>3. 技术需求匹配结果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t>专家团队</w:t>
            </w:r>
          </w:p>
        </w:tc>
        <w:tc>
          <w:tcPr>
            <w:tcW w:type="dxa" w:w="12960"/>
          </w:tcPr>
          <w:p>
            <w:r>
              <w:t>孙鹏,毛磊,李海峰,苏忱,刘旭,张克奇,匡翠方,徐良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所属院校</w:t>
            </w:r>
          </w:p>
        </w:tc>
        <w:tc>
          <w:tcPr>
            <w:tcW w:type="dxa" w:w="4320"/>
          </w:tcPr>
          <w:p>
            <w:r>
              <w:t>浙江大学-光电科学与工程学院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相关专利</w:t>
            </w:r>
          </w:p>
        </w:tc>
        <w:tc>
          <w:tcPr>
            <w:tcW w:type="dxa" w:w="4320"/>
          </w:tcPr>
          <w:p>
            <w:r>
              <w:t>一种基于液晶变焦透镜的光切片显微成像方法和装置[CN110836877A]</w:t>
              <w:br/>
              <w:t>一种超短焦投影镜头系统[CN105158884A]</w:t>
              <w:br/>
              <w:t>大尺寸空间三维影院放映光学系统及其方法[CN101982806A]</w:t>
              <w:br/>
              <w:t>基于高速投影机的360°全视差三维显示装置和方法[CN104155840A]</w:t>
              <w:br/>
              <w:t>一种用于桌面投影的超短焦物镜[CN109491060A]</w:t>
              <w:br/>
              <w:t>一种基于高速投影机的全景视场三维显示装置[CN101630066]</w:t>
              <w:br/>
              <w:t>基于组合屏幕的俯仰多视角悬浮式全景空间三维显示装置[CN102279514A]</w:t>
              <w:br/>
              <w:t>基于光场扫描的全视差360°三维显示装置和方法[CN105700162A]</w:t>
              <w:br/>
              <w:t>基于高速投影机的真彩色360°三维显示装置和方法[CN103064244A]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相关项目</w:t>
            </w:r>
          </w:p>
        </w:tc>
        <w:tc>
          <w:tcPr>
            <w:tcW w:type="dxa" w:w="4320"/>
          </w:tcPr>
          <w:p>
            <w:r>
              <w:t>浙江省基础公益研究计划(LGF19H090020)</w:t>
              <w:br/>
              <w:t>浙江省自然科学基金资助项目(R104096)</w:t>
              <w:br/>
              <w:t>浙江省科技计划项目(2015C33178)</w:t>
              <w:br/>
              <w:t>浙江省科技计划优先主题项目(2007C13066)资助课题</w:t>
              <w:br/>
              <w:t>国家社科基金青年项目“当代英国小说中创伤历史的书写研究”(11CWW016)</w:t>
              <w:br/>
              <w:t>国家“973”重点基础研究发展规划资助项目(20060391045)</w:t>
              <w:br/>
              <w:t>国家社会科学基金重大招标项目“外国文学经典生成与传播研究”(项目编号:10&amp;ZD135)的阶段性成果</w:t>
              <w:br/>
              <w:t>中央高校基本科研业务费专项资金(2016FZA5002)</w:t>
              <w:br/>
              <w:t>国家自然科学基金(60708013)资助课题</w:t>
              <w:br/>
              <w:t>浙江省自然科学基金(LY18F050007)</w:t>
              <w:br/>
              <w:t>国家“863“高技术研究发展计划资助项目(2007AA01Z339)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