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120"/>
        <w:jc w:val="center"/>
      </w:pPr>
      <w:r>
        <w:rPr>
          <w:rFonts w:ascii="Times New Roman" w:hAnsi="Times New Roman" w:eastAsia="黑体"/>
          <w:b/>
          <w:sz w:val="36"/>
        </w:rPr>
        <w:t>工业狭小空间几何测量方法研究进展</w:t>
      </w:r>
    </w:p>
    <w:p>
      <w:pPr>
        <w:pStyle w:val="Heading2"/>
        <w:keepNext/>
        <w:spacing w:before="200" w:after="120"/>
      </w:pPr>
      <w:r>
        <w:rPr>
          <w:rFonts w:ascii="Times New Roman" w:hAnsi="Times New Roman" w:eastAsia="黑体"/>
          <w:b/>
          <w:sz w:val="28"/>
        </w:rPr>
        <w:t>摘要</w:t>
      </w:r>
    </w:p>
    <w:p>
      <w:pPr>
        <w:spacing w:line="360" w:lineRule="auto" w:after="0" w:before="0"/>
        <w:ind w:firstLine="420"/>
        <w:jc w:val="both"/>
      </w:pPr>
      <w:r>
        <w:rPr>
          <w:rFonts w:ascii="Times New Roman" w:hAnsi="Times New Roman" w:eastAsia="宋体"/>
          <w:sz w:val="21"/>
        </w:rPr>
        <w:t>深孔、窄缝、管道、复杂流道和半封闭内腔广泛存在于航空发动机、能源装备、汽车动力系统及精密制造零部件中。受入口尺度小、深径比大、观测视场有限和测量基准难以传递等因素制约，常规坐标测量与表面测量装备难以直接应用。本文将工业狭小空间界定为受入口尺寸、内部尺度、深径比、遮挡或可达性限制，常规测量设备无法直接进入或建立完整测量视场的内部空间，综述接触式探针、内窥视觉和主动光学探头三类几何测量方法。首先，从几何任务、空间约束和计量性能三个维度建立方法分类框架；继而分析细长杆及微型探针、单/双目内窥视觉、激光三角与结构光、共焦和低相干干涉等方法的测量机理、代表性进展和适用边界；随后讨论探头微型化、光路折转、位姿与坐标传递、系统标定、多视场融合及不确定度评定等共性技术。在此基础上，采用可进入性、可达深度、测量范围、精度、覆盖率、表面适应性和测量效率等指标比较不同技术。研究表明，工业狭小空间测量的主要瓶颈已由局部传感分辨率转向探头全链位姿确定、深度相关误差补偿、复杂表面稳健感知以及任务相关量值溯源。多模态微型探头、原位自标定、结构约束融合和面向任务的不确定度数字化，是实现高精度、完整化和在线化测量的重要方向。</w:t>
      </w:r>
    </w:p>
    <w:p>
      <w:pPr>
        <w:spacing w:line="360" w:lineRule="auto" w:after="0" w:before="0"/>
        <w:jc w:val="both"/>
      </w:pPr>
      <w:r>
        <w:rPr>
          <w:rFonts w:ascii="Times New Roman" w:hAnsi="Times New Roman" w:eastAsia="宋体"/>
          <w:b/>
          <w:sz w:val="21"/>
        </w:rPr>
        <w:t>关键词：</w:t>
      </w:r>
      <w:r>
        <w:rPr>
          <w:rFonts w:ascii="Times New Roman" w:hAnsi="Times New Roman" w:eastAsia="宋体"/>
          <w:sz w:val="21"/>
        </w:rPr>
        <w:t xml:space="preserve"> 狭小空间；几何测量；深孔；内窥视觉；结构光；微型探针；测量不确定度</w:t>
      </w:r>
    </w:p>
    <w:p>
      <w:pPr>
        <w:pStyle w:val="Heading2"/>
        <w:keepNext/>
        <w:spacing w:before="200" w:after="120"/>
      </w:pPr>
      <w:r>
        <w:rPr>
          <w:rFonts w:ascii="Times New Roman" w:hAnsi="Times New Roman" w:eastAsia="黑体"/>
          <w:b/>
          <w:sz w:val="28"/>
        </w:rPr>
        <w:t>Research Progress in Geometrical Measurement Methods for Industrial Confined Geometries</w:t>
      </w:r>
    </w:p>
    <w:p>
      <w:pPr>
        <w:pStyle w:val="Heading3"/>
        <w:keepNext/>
        <w:spacing w:before="200" w:after="120"/>
      </w:pPr>
      <w:r>
        <w:rPr>
          <w:rFonts w:ascii="Times New Roman" w:hAnsi="Times New Roman" w:eastAsia="黑体"/>
          <w:b/>
          <w:sz w:val="24"/>
        </w:rPr>
        <w:t>Abstract</w:t>
      </w:r>
    </w:p>
    <w:p>
      <w:pPr>
        <w:spacing w:line="360" w:lineRule="auto" w:after="0" w:before="0"/>
        <w:ind w:firstLine="420"/>
        <w:jc w:val="both"/>
      </w:pPr>
      <w:r>
        <w:rPr>
          <w:rFonts w:ascii="Times New Roman" w:hAnsi="Times New Roman" w:eastAsia="宋体"/>
          <w:sz w:val="21"/>
        </w:rPr>
        <w:t>Deep holes, narrow gaps, pipes, complex passages, and semi-enclosed cavities are ubiquitous in aero-engines, energy equipment, automotive powertrains, and precision-manufactured components. Conventional coordinate and surface metrology systems cannot be directly deployed because access apertures, aspect ratios, line of sight, and datum transfer are severely constrained. This review defines an industrial confined geometry as an internal space in which conventional measuring equipment cannot enter or establish a complete field of measurement owing to restricted aperture, internal dimensions, aspect ratio, occlusion, or accessibility. Tactile probes, endoscopic vision, and active optical probes are reviewed in terms of principles, representative advances, and applicability limits. Common enabling techniques—including probe miniaturization, folded optical paths, pose and coordinate transfer, system calibration, multi-view fusion, and uncertainty evaluation—are then discussed. A unified comparison is made using accessibility, reachable depth, range, accuracy, coverage, surface compatibility, and efficiency. The evidence indicates that the dominant challenge is shifting from local sensor resolution to full-chain pose determination, depth-dependent error compensation, robust sensing of complex surfaces, and task-specific metrological traceability. Multimodal miniature probes, in-situ self-calibration, structure-constrained fusion, and digital uncertainty evaluation are identified as major future directions.</w:t>
      </w:r>
    </w:p>
    <w:p>
      <w:pPr>
        <w:spacing w:line="360" w:lineRule="auto" w:after="0" w:before="0"/>
        <w:jc w:val="both"/>
      </w:pPr>
      <w:r>
        <w:rPr>
          <w:rFonts w:ascii="Times New Roman" w:hAnsi="Times New Roman" w:eastAsia="宋体"/>
          <w:b/>
          <w:sz w:val="21"/>
        </w:rPr>
        <w:t>Keywords:</w:t>
      </w:r>
      <w:r>
        <w:rPr>
          <w:rFonts w:ascii="Times New Roman" w:hAnsi="Times New Roman" w:eastAsia="宋体"/>
          <w:sz w:val="21"/>
        </w:rPr>
        <w:t xml:space="preserve"> confined geometry; dimensional metrology; deep hole; endoscopic vision; structured light; miniature probe; measurement uncertainty</w:t>
      </w:r>
    </w:p>
    <w:p>
      <w:pPr>
        <w:pStyle w:val="Heading2"/>
        <w:keepNext/>
        <w:spacing w:before="200" w:after="120"/>
      </w:pPr>
      <w:r>
        <w:rPr>
          <w:rFonts w:ascii="Times New Roman" w:hAnsi="Times New Roman" w:eastAsia="黑体"/>
          <w:b/>
          <w:sz w:val="28"/>
        </w:rPr>
        <w:t>1 引言</w:t>
      </w:r>
    </w:p>
    <w:p>
      <w:pPr>
        <w:spacing w:line="360" w:lineRule="auto" w:after="0" w:before="0"/>
        <w:ind w:firstLine="420"/>
        <w:jc w:val="both"/>
      </w:pPr>
      <w:r>
        <w:rPr>
          <w:rFonts w:ascii="Times New Roman" w:hAnsi="Times New Roman" w:eastAsia="宋体"/>
          <w:sz w:val="21"/>
        </w:rPr>
        <w:t>高性能工业装备正向结构紧凑化、功能集成化和服役长寿命发展。航空发动机叶片冷却孔、燃烧室和涡轮通道，液压阀体交叉孔，喷油嘴微孔，换热管和压力管道，以及增材制造复杂流道均具有小入口、大深度或强遮挡特征。其内径、圆度、圆柱度、直线度、间隙、轮廓和表面形貌直接影响流动、密封、传热、润滑及装配性能。制造后离线测量只能覆盖部分可见特征；服役装备还常受到不可拆卸或拆卸成本高的限制。因此，能够通过小入口进入内腔并建立可靠尺寸坐标的几何测量技术，是先进制造与运维保障中的基础问题。</w:t>
      </w:r>
    </w:p>
    <w:p>
      <w:pPr>
        <w:spacing w:line="360" w:lineRule="auto" w:after="0" w:before="0"/>
        <w:ind w:firstLine="420"/>
        <w:jc w:val="both"/>
      </w:pPr>
      <w:r>
        <w:rPr>
          <w:rFonts w:ascii="Times New Roman" w:hAnsi="Times New Roman" w:eastAsia="宋体"/>
          <w:sz w:val="21"/>
        </w:rPr>
        <w:t>“狭小空间”与安全工程中的“受限空间”并不等同。后者通常依据人员进出条件及缺氧、中毒等作业风险定义，而本文研究对象是由零部件几何造成的仪器可进入性和可观测性限制。本文将</w:t>
      </w:r>
      <w:r>
        <w:rPr>
          <w:rFonts w:ascii="Times New Roman" w:hAnsi="Times New Roman" w:eastAsia="宋体"/>
          <w:b/>
          <w:sz w:val="21"/>
        </w:rPr>
        <w:t>工业狭小空间</w:t>
      </w:r>
      <w:r>
        <w:rPr>
          <w:rFonts w:ascii="Times New Roman" w:hAnsi="Times New Roman" w:eastAsia="宋体"/>
          <w:sz w:val="21"/>
        </w:rPr>
        <w:t>操作性定义为：受入口最小通径、内部尺度、深径比、弯曲或遮挡限制，常规坐标测量机测头、光学测量头或表面仪器无法直接进入，或无法形成完整有效测量视场的内部空间。该定义不设置统一毫米阈值，因为直径是否“狭小”取决于探头尺寸、目标不确定度和被测任务；例如，直径100 mm、深700 mm的孔对普通短测针仍属于高深径比受限对象，而百微米通孔则属于微尺度可达性问题。</w:t>
      </w:r>
    </w:p>
    <w:p>
      <w:pPr>
        <w:spacing w:line="360" w:lineRule="auto" w:after="0" w:before="0"/>
        <w:ind w:firstLine="420"/>
        <w:jc w:val="both"/>
      </w:pPr>
      <w:r>
        <w:rPr>
          <w:rFonts w:ascii="Times New Roman" w:hAnsi="Times New Roman" w:eastAsia="宋体"/>
          <w:sz w:val="21"/>
        </w:rPr>
        <w:t>本文聚焦尺寸、形状、方向、位置、间隙和表面三维坐标等几何量。仅输出缺陷类别、检测概率或像素面积的目视检查和无损检测不在讨论范围；工业CT虽可穿透封闭结构，但测量探头无需进入狭小空间，其约束机理与本文主题不同，亦不作为主体。根据局部几何信息的获取机制，本文将现有技术归纳为接触式探针、被动内窥视觉和主动光学探头三类，并将探头进入、位姿传递、标定与数据融合视为决定系统计量能力的共同链路。</w:t>
      </w:r>
    </w:p>
    <w:p>
      <w:pPr>
        <w:spacing w:line="360" w:lineRule="auto" w:after="0" w:before="0"/>
        <w:ind w:firstLine="420"/>
        <w:jc w:val="both"/>
      </w:pPr>
      <w:r>
        <w:rPr>
          <w:rFonts w:ascii="Times New Roman" w:hAnsi="Times New Roman" w:eastAsia="宋体"/>
          <w:sz w:val="21"/>
        </w:rPr>
        <w:t xml:space="preserve">本文围绕 </w:t>
      </w:r>
      <w:r>
        <w:rPr>
          <w:rFonts w:ascii="Times New Roman" w:hAnsi="Times New Roman" w:eastAsia="宋体"/>
          <w:b w:val="0"/>
          <w:i/>
          <w:sz w:val="21"/>
        </w:rPr>
        <w:t>internal geometry metrology</w:t>
      </w:r>
      <w:r>
        <w:rPr>
          <w:rFonts w:ascii="Times New Roman" w:hAnsi="Times New Roman" w:eastAsia="宋体"/>
          <w:sz w:val="21"/>
        </w:rPr>
        <w:t>、</w:t>
      </w:r>
      <w:r>
        <w:rPr>
          <w:rFonts w:ascii="Times New Roman" w:hAnsi="Times New Roman" w:eastAsia="宋体"/>
          <w:b w:val="0"/>
          <w:i/>
          <w:sz w:val="21"/>
        </w:rPr>
        <w:t>high-aspect-ratio internal feature</w:t>
      </w:r>
      <w:r>
        <w:rPr>
          <w:rFonts w:ascii="Times New Roman" w:hAnsi="Times New Roman" w:eastAsia="宋体"/>
          <w:sz w:val="21"/>
        </w:rPr>
        <w:t>、</w:t>
      </w:r>
      <w:r>
        <w:rPr>
          <w:rFonts w:ascii="Times New Roman" w:hAnsi="Times New Roman" w:eastAsia="宋体"/>
          <w:b w:val="0"/>
          <w:i/>
          <w:sz w:val="21"/>
        </w:rPr>
        <w:t>deep-hole measurement</w:t>
      </w:r>
      <w:r>
        <w:rPr>
          <w:rFonts w:ascii="Times New Roman" w:hAnsi="Times New Roman" w:eastAsia="宋体"/>
          <w:sz w:val="21"/>
        </w:rPr>
        <w:t>、</w:t>
      </w:r>
      <w:r>
        <w:rPr>
          <w:rFonts w:ascii="Times New Roman" w:hAnsi="Times New Roman" w:eastAsia="宋体"/>
          <w:b w:val="0"/>
          <w:i/>
          <w:sz w:val="21"/>
        </w:rPr>
        <w:t>measuring borescope</w:t>
      </w:r>
      <w:r>
        <w:rPr>
          <w:rFonts w:ascii="Times New Roman" w:hAnsi="Times New Roman" w:eastAsia="宋体"/>
          <w:sz w:val="21"/>
        </w:rPr>
        <w:t>、</w:t>
      </w:r>
      <w:r>
        <w:rPr>
          <w:rFonts w:ascii="Times New Roman" w:hAnsi="Times New Roman" w:eastAsia="宋体"/>
          <w:b w:val="0"/>
          <w:i/>
          <w:sz w:val="21"/>
        </w:rPr>
        <w:t>fiber probe</w:t>
      </w:r>
      <w:r>
        <w:rPr>
          <w:rFonts w:ascii="Times New Roman" w:hAnsi="Times New Roman" w:eastAsia="宋体"/>
          <w:sz w:val="21"/>
        </w:rPr>
        <w:t xml:space="preserve"> 和 </w:t>
      </w:r>
      <w:r>
        <w:rPr>
          <w:rFonts w:ascii="Times New Roman" w:hAnsi="Times New Roman" w:eastAsia="宋体"/>
          <w:b w:val="0"/>
          <w:i/>
          <w:sz w:val="21"/>
        </w:rPr>
        <w:t>inner-wall structured light</w:t>
      </w:r>
      <w:r>
        <w:rPr>
          <w:rFonts w:ascii="Times New Roman" w:hAnsi="Times New Roman" w:eastAsia="宋体"/>
          <w:sz w:val="21"/>
        </w:rPr>
        <w:t xml:space="preserve"> 等主题开展文献调研，重点选取具有标准件或参考仪器验证、明确测量条件及可核验书目信息的研究。已有综述分别总结了探测系统[1]、微坐标计量[2-3]、高深宽比内特征三维计量[4]和内壁形貌光学测量[5]，但不同论文仍常以分辨率、重复性、示值误差或单次比对偏差统称“精度”，且对局部传感与坐标传递的边界讨论不足。本文的重点因此不是扩展技术清单，而是建立“空间约束—测量任务—信息获取—坐标传递—任务不确定度”的统一分析框架。</w:t>
      </w:r>
    </w:p>
    <w:p>
      <w:pPr>
        <w:pStyle w:val="Heading2"/>
        <w:keepNext/>
        <w:spacing w:before="200" w:after="120"/>
      </w:pPr>
      <w:r>
        <w:rPr>
          <w:rFonts w:ascii="Times New Roman" w:hAnsi="Times New Roman" w:eastAsia="黑体"/>
          <w:b/>
          <w:sz w:val="28"/>
        </w:rPr>
        <w:t>2 工业狭小空间几何测量的基本问题</w:t>
      </w:r>
    </w:p>
    <w:p>
      <w:pPr>
        <w:pStyle w:val="Heading3"/>
        <w:keepNext/>
        <w:spacing w:before="200" w:after="120"/>
      </w:pPr>
      <w:r>
        <w:rPr>
          <w:rFonts w:ascii="Times New Roman" w:hAnsi="Times New Roman" w:eastAsia="黑体"/>
          <w:b/>
          <w:sz w:val="24"/>
        </w:rPr>
        <w:t>2.1 空间特征与测量对象</w:t>
      </w:r>
    </w:p>
    <w:p>
      <w:pPr>
        <w:spacing w:line="360" w:lineRule="auto" w:after="0" w:before="0"/>
        <w:ind w:firstLine="420"/>
        <w:jc w:val="both"/>
      </w:pPr>
      <w:r>
        <w:rPr>
          <w:rFonts w:ascii="Times New Roman" w:hAnsi="Times New Roman" w:eastAsia="宋体"/>
          <w:sz w:val="21"/>
        </w:rPr>
        <w:t>工业狭小空间可按主导约束分为五类：（1）入口受限，如窄口大腔、微孔和狭槽；（2）高深径比，如深孔、细长管和喷油孔；（3）视场受限，如具有台阶、倒扣或叶片遮挡的复杂内腔；（4）路径受限，如弯管、分叉流道和蛇形通道；（5）环境受限，如高温、振动、油污、切削液和高反射金属表面。实际对象通常同时包含多种约束。</w:t>
      </w:r>
    </w:p>
    <w:p>
      <w:pPr>
        <w:spacing w:line="360" w:lineRule="auto" w:after="0" w:before="0"/>
        <w:ind w:firstLine="420"/>
        <w:jc w:val="both"/>
      </w:pPr>
      <w:r>
        <w:rPr>
          <w:rFonts w:ascii="Times New Roman" w:hAnsi="Times New Roman" w:eastAsia="宋体"/>
          <w:sz w:val="21"/>
        </w:rPr>
        <w:t>针对圆孔和近圆柱结构，可用深径比 \(AR=L/D\) 描述基本可达难度，但单一深径比不足以表征弯曲和遮挡。建议至少同时报告入口最小通径 \(D_a\)、最大可达深度 \(L_r\)、\(L_r/D_a\)、探头外径 \(D_p\)、最小碰撞裕量、弯曲半径、有效覆盖率及误差随深度的变化。对于窄口大腔，还应报告入口与最大腔径之比；对于弯曲流道，则应给出弯头数量、曲率和探头允许弯曲半径。</w:t>
      </w:r>
    </w:p>
    <w:p>
      <w:pPr>
        <w:pStyle w:val="Heading3"/>
        <w:keepNext/>
        <w:spacing w:before="200" w:after="120"/>
      </w:pPr>
      <w:r>
        <w:rPr>
          <w:rFonts w:ascii="Times New Roman" w:hAnsi="Times New Roman" w:eastAsia="黑体"/>
          <w:b/>
          <w:sz w:val="24"/>
        </w:rPr>
        <w:t>2.2 几何任务与计量链</w:t>
      </w:r>
    </w:p>
    <w:p>
      <w:pPr>
        <w:spacing w:line="360" w:lineRule="auto" w:after="0" w:before="0"/>
        <w:ind w:firstLine="420"/>
        <w:jc w:val="both"/>
      </w:pPr>
      <w:r>
        <w:rPr>
          <w:rFonts w:ascii="Times New Roman" w:hAnsi="Times New Roman" w:eastAsia="宋体"/>
          <w:sz w:val="21"/>
        </w:rPr>
        <w:t>狭小空间中的典型任务包括：</w:t>
      </w:r>
    </w:p>
    <w:p>
      <w:pPr>
        <w:pStyle w:val="ListNumber"/>
        <w:spacing w:line="360" w:lineRule="auto" w:after="0" w:before="0"/>
        <w:ind w:left="420"/>
        <w:jc w:val="both"/>
      </w:pPr>
      <w:r>
        <w:rPr>
          <w:rFonts w:ascii="Times New Roman" w:hAnsi="Times New Roman" w:eastAsia="宋体"/>
          <w:b/>
          <w:sz w:val="21"/>
        </w:rPr>
        <w:t>尺寸测量</w:t>
      </w:r>
      <w:r>
        <w:rPr>
          <w:rFonts w:ascii="Times New Roman" w:hAnsi="Times New Roman" w:eastAsia="宋体"/>
          <w:sz w:val="21"/>
        </w:rPr>
        <w:t>：孔径、槽宽、壁厚、台阶高度及静态间隙；</w:t>
      </w:r>
    </w:p>
    <w:p>
      <w:pPr>
        <w:pStyle w:val="ListNumber"/>
        <w:spacing w:line="360" w:lineRule="auto" w:after="0" w:before="0"/>
        <w:ind w:left="420"/>
        <w:jc w:val="both"/>
      </w:pPr>
      <w:r>
        <w:rPr>
          <w:rFonts w:ascii="Times New Roman" w:hAnsi="Times New Roman" w:eastAsia="宋体"/>
          <w:b/>
          <w:sz w:val="21"/>
        </w:rPr>
        <w:t>形状测量</w:t>
      </w:r>
      <w:r>
        <w:rPr>
          <w:rFonts w:ascii="Times New Roman" w:hAnsi="Times New Roman" w:eastAsia="宋体"/>
          <w:sz w:val="21"/>
        </w:rPr>
        <w:t>：圆度、圆柱度、直线度、锥度和自由曲面偏差；</w:t>
      </w:r>
    </w:p>
    <w:p>
      <w:pPr>
        <w:pStyle w:val="ListNumber"/>
        <w:spacing w:line="360" w:lineRule="auto" w:after="0" w:before="0"/>
        <w:ind w:left="420"/>
        <w:jc w:val="both"/>
      </w:pPr>
      <w:r>
        <w:rPr>
          <w:rFonts w:ascii="Times New Roman" w:hAnsi="Times New Roman" w:eastAsia="宋体"/>
          <w:b/>
          <w:sz w:val="21"/>
        </w:rPr>
        <w:t>方向与位置测量</w:t>
      </w:r>
      <w:r>
        <w:rPr>
          <w:rFonts w:ascii="Times New Roman" w:hAnsi="Times New Roman" w:eastAsia="宋体"/>
          <w:sz w:val="21"/>
        </w:rPr>
        <w:t>：孔轴倾角、同轴度、孔位及内部构件位姿；</w:t>
      </w:r>
    </w:p>
    <w:p>
      <w:pPr>
        <w:pStyle w:val="ListNumber"/>
        <w:spacing w:line="360" w:lineRule="auto" w:after="0" w:before="0"/>
        <w:ind w:left="420"/>
        <w:jc w:val="both"/>
      </w:pPr>
      <w:r>
        <w:rPr>
          <w:rFonts w:ascii="Times New Roman" w:hAnsi="Times New Roman" w:eastAsia="宋体"/>
          <w:b/>
          <w:sz w:val="21"/>
        </w:rPr>
        <w:t>表面测量</w:t>
      </w:r>
      <w:r>
        <w:rPr>
          <w:rFonts w:ascii="Times New Roman" w:hAnsi="Times New Roman" w:eastAsia="宋体"/>
          <w:sz w:val="21"/>
        </w:rPr>
        <w:t>：局部轮廓、三维形貌及具有几何量值的凹坑、磨损和烧蚀；</w:t>
      </w:r>
    </w:p>
    <w:p>
      <w:pPr>
        <w:pStyle w:val="ListNumber"/>
        <w:spacing w:line="360" w:lineRule="auto" w:after="0" w:before="0"/>
        <w:ind w:left="420"/>
        <w:jc w:val="both"/>
      </w:pPr>
      <w:r>
        <w:rPr>
          <w:rFonts w:ascii="Times New Roman" w:hAnsi="Times New Roman" w:eastAsia="宋体"/>
          <w:b/>
          <w:sz w:val="21"/>
        </w:rPr>
        <w:t>动态几何测量</w:t>
      </w:r>
      <w:r>
        <w:rPr>
          <w:rFonts w:ascii="Times New Roman" w:hAnsi="Times New Roman" w:eastAsia="宋体"/>
          <w:sz w:val="21"/>
        </w:rPr>
        <w:t>：叶尖间隙、热变形和旋转部件跳动。</w:t>
      </w:r>
    </w:p>
    <w:p>
      <w:pPr>
        <w:spacing w:line="360" w:lineRule="auto" w:after="0" w:before="0"/>
        <w:ind w:firstLine="420"/>
        <w:jc w:val="both"/>
      </w:pPr>
      <w:r>
        <w:rPr>
          <w:rFonts w:ascii="Times New Roman" w:hAnsi="Times New Roman" w:eastAsia="宋体"/>
          <w:sz w:val="21"/>
        </w:rPr>
        <w:t>无论采用何种传感原理，测量结果均可抽象为局部观测 \(\boldsymbol q_s\) 经探头模型和坐标变换映射至工件坐标系：</w:t>
      </w:r>
    </w:p>
    <w:p>
      <w:pPr>
        <w:spacing w:before="120" w:after="120"/>
        <w:jc w:val="center"/>
      </w:pPr>
      <w:r>
        <w:rPr>
          <w:rFonts w:ascii="Cambria Math" w:hAnsi="Cambria Math" w:eastAsia="Cambria Math"/>
          <w:sz w:val="21"/>
        </w:rPr>
        <w:t xml:space="preserve"> x_W={}^{W} T_M {}^{M} T_C(s)  {}^{C} T_P g( q_s,\theta)</w:t>
      </w:r>
    </w:p>
    <w:p>
      <w:pPr>
        <w:spacing w:line="360" w:lineRule="auto" w:after="0" w:before="0"/>
        <w:ind w:firstLine="420"/>
        <w:jc w:val="both"/>
      </w:pPr>
      <w:r>
        <w:rPr>
          <w:rFonts w:ascii="Times New Roman" w:hAnsi="Times New Roman" w:eastAsia="宋体"/>
          <w:sz w:val="21"/>
        </w:rPr>
        <w:t>其中，\(g\) 为传感器测量模型，\(\boldsymbol\theta\) 为内参，\(P\)、\(C\)、\(M\) 和 \(W\) 分别表示局部探测、探头载体、运动机构和工件坐标系，\(s\) 为插入深度或扫描时刻。局部传感器具有纳米分辨率，并不意味着最终孔径或圆柱度具有同等级准确度；长探杆挠曲、外参漂移、旋转轴跳动和多视场配准往往成为主导误差。</w:t>
      </w:r>
    </w:p>
    <w:p>
      <w:pPr>
        <w:pStyle w:val="Heading3"/>
        <w:keepNext/>
        <w:spacing w:before="200" w:after="120"/>
      </w:pPr>
      <w:r>
        <w:rPr>
          <w:rFonts w:ascii="Times New Roman" w:hAnsi="Times New Roman" w:eastAsia="黑体"/>
          <w:b/>
          <w:sz w:val="24"/>
        </w:rPr>
        <w:t>2.3 分类与评价指标</w:t>
      </w:r>
    </w:p>
    <w:p>
      <w:pPr>
        <w:spacing w:line="360" w:lineRule="auto" w:after="0" w:before="0"/>
        <w:ind w:firstLine="420"/>
        <w:jc w:val="both"/>
      </w:pPr>
      <w:r>
        <w:rPr>
          <w:rFonts w:ascii="Times New Roman" w:hAnsi="Times New Roman" w:eastAsia="宋体"/>
          <w:sz w:val="21"/>
        </w:rPr>
        <w:t>本文以信息获取机制为一级分类：接触位移、被动成像三角几何和主动光学测距；以探头承载方式和扫描方式为二级分类。评价指标分为四层：</w:t>
      </w:r>
    </w:p>
    <w:tbl>
      <w:tblPr>
        <w:tblStyle w:val="TableGrid"/>
        <w:tblW w:type="auto" w:w="0"/>
        <w:jc w:val="center"/>
        <w:tblLayout w:type="autofit"/>
        <w:tblLook w:firstColumn="1" w:firstRow="1" w:lastColumn="0" w:lastRow="0" w:noHBand="0" w:noVBand="1" w:val="04A0"/>
      </w:tblPr>
      <w:tblGrid>
        <w:gridCol w:w="4422"/>
        <w:gridCol w:w="4422"/>
      </w:tblGrid>
      <w:tr>
        <w:trPr>
          <w:tblHeader w:val="true"/>
        </w:trPr>
        <w:tc>
          <w:tcPr>
            <w:tcW w:type="dxa" w:w="4422"/>
            <w:vAlign w:val="center"/>
            <w:shd w:fill="D9EAF7"/>
          </w:tcPr>
          <w:p>
            <w:pPr>
              <w:spacing w:after="0" w:line="240" w:lineRule="auto"/>
              <w:jc w:val="center"/>
            </w:pPr>
            <w:r/>
            <w:r>
              <w:rPr>
                <w:rFonts w:ascii="Times New Roman" w:hAnsi="Times New Roman" w:eastAsia="宋体"/>
                <w:b/>
                <w:sz w:val="18"/>
              </w:rPr>
              <w:t>层级</w:t>
            </w:r>
          </w:p>
        </w:tc>
        <w:tc>
          <w:tcPr>
            <w:tcW w:type="dxa" w:w="4422"/>
            <w:vAlign w:val="center"/>
            <w:shd w:fill="D9EAF7"/>
          </w:tcPr>
          <w:p>
            <w:pPr>
              <w:spacing w:after="0" w:line="240" w:lineRule="auto"/>
              <w:jc w:val="center"/>
            </w:pPr>
            <w:r/>
            <w:r>
              <w:rPr>
                <w:rFonts w:ascii="Times New Roman" w:hAnsi="Times New Roman" w:eastAsia="宋体"/>
                <w:b/>
                <w:sz w:val="18"/>
              </w:rPr>
              <w:t>主要指标</w:t>
            </w:r>
          </w:p>
        </w:tc>
      </w:tr>
      <w:tr>
        <w:tc>
          <w:tcPr>
            <w:tcW w:type="dxa" w:w="4422"/>
            <w:vAlign w:val="center"/>
          </w:tcPr>
          <w:p>
            <w:pPr>
              <w:spacing w:after="0" w:line="240" w:lineRule="auto"/>
              <w:jc w:val="left"/>
            </w:pPr>
            <w:r/>
            <w:r>
              <w:rPr>
                <w:rFonts w:ascii="Times New Roman" w:hAnsi="Times New Roman" w:eastAsia="宋体"/>
                <w:b w:val="0"/>
                <w:sz w:val="18"/>
              </w:rPr>
              <w:t>空间适应性</w:t>
            </w:r>
          </w:p>
        </w:tc>
        <w:tc>
          <w:tcPr>
            <w:tcW w:type="dxa" w:w="4422"/>
            <w:vAlign w:val="center"/>
          </w:tcPr>
          <w:p>
            <w:pPr>
              <w:spacing w:after="0" w:line="240" w:lineRule="auto"/>
              <w:jc w:val="left"/>
            </w:pPr>
            <w:r/>
            <w:r>
              <w:rPr>
                <w:rFonts w:ascii="Times New Roman" w:hAnsi="Times New Roman" w:eastAsia="宋体"/>
                <w:b w:val="0"/>
                <w:sz w:val="18"/>
              </w:rPr>
              <w:t>探头外径、入口通径、工作距离、可达深度、弯曲能力、覆盖率</w:t>
            </w:r>
          </w:p>
        </w:tc>
      </w:tr>
      <w:tr>
        <w:tc>
          <w:tcPr>
            <w:tcW w:type="dxa" w:w="4422"/>
            <w:vAlign w:val="center"/>
          </w:tcPr>
          <w:p>
            <w:pPr>
              <w:spacing w:after="0" w:line="240" w:lineRule="auto"/>
              <w:jc w:val="left"/>
            </w:pPr>
            <w:r/>
            <w:r>
              <w:rPr>
                <w:rFonts w:ascii="Times New Roman" w:hAnsi="Times New Roman" w:eastAsia="宋体"/>
                <w:b w:val="0"/>
                <w:sz w:val="18"/>
              </w:rPr>
              <w:t>局部传感性能</w:t>
            </w:r>
          </w:p>
        </w:tc>
        <w:tc>
          <w:tcPr>
            <w:tcW w:type="dxa" w:w="4422"/>
            <w:vAlign w:val="center"/>
          </w:tcPr>
          <w:p>
            <w:pPr>
              <w:spacing w:after="0" w:line="240" w:lineRule="auto"/>
              <w:jc w:val="left"/>
            </w:pPr>
            <w:r/>
            <w:r>
              <w:rPr>
                <w:rFonts w:ascii="Times New Roman" w:hAnsi="Times New Roman" w:eastAsia="宋体"/>
                <w:b w:val="0"/>
                <w:sz w:val="18"/>
              </w:rPr>
              <w:t>量程、分辨率、线性误差、重复性、采样频率、倾角和表面敏感性</w:t>
            </w:r>
          </w:p>
        </w:tc>
      </w:tr>
      <w:tr>
        <w:tc>
          <w:tcPr>
            <w:tcW w:type="dxa" w:w="4422"/>
            <w:vAlign w:val="center"/>
          </w:tcPr>
          <w:p>
            <w:pPr>
              <w:spacing w:after="0" w:line="240" w:lineRule="auto"/>
              <w:jc w:val="left"/>
            </w:pPr>
            <w:r/>
            <w:r>
              <w:rPr>
                <w:rFonts w:ascii="Times New Roman" w:hAnsi="Times New Roman" w:eastAsia="宋体"/>
                <w:b w:val="0"/>
                <w:sz w:val="18"/>
              </w:rPr>
              <w:t>坐标测量性能</w:t>
            </w:r>
          </w:p>
        </w:tc>
        <w:tc>
          <w:tcPr>
            <w:tcW w:type="dxa" w:w="4422"/>
            <w:vAlign w:val="center"/>
          </w:tcPr>
          <w:p>
            <w:pPr>
              <w:spacing w:after="0" w:line="240" w:lineRule="auto"/>
              <w:jc w:val="left"/>
            </w:pPr>
            <w:r/>
            <w:r>
              <w:rPr>
                <w:rFonts w:ascii="Times New Roman" w:hAnsi="Times New Roman" w:eastAsia="宋体"/>
                <w:b w:val="0"/>
                <w:sz w:val="18"/>
              </w:rPr>
              <w:t>位姿误差、全深度示值误差、拼接漂移、球距或长度测量误差</w:t>
            </w:r>
          </w:p>
        </w:tc>
      </w:tr>
      <w:tr>
        <w:tc>
          <w:tcPr>
            <w:tcW w:type="dxa" w:w="4422"/>
            <w:vAlign w:val="center"/>
          </w:tcPr>
          <w:p>
            <w:pPr>
              <w:spacing w:after="0" w:line="240" w:lineRule="auto"/>
              <w:jc w:val="left"/>
            </w:pPr>
            <w:r/>
            <w:r>
              <w:rPr>
                <w:rFonts w:ascii="Times New Roman" w:hAnsi="Times New Roman" w:eastAsia="宋体"/>
                <w:b w:val="0"/>
                <w:sz w:val="18"/>
              </w:rPr>
              <w:t>任务结果</w:t>
            </w:r>
          </w:p>
        </w:tc>
        <w:tc>
          <w:tcPr>
            <w:tcW w:type="dxa" w:w="4422"/>
            <w:vAlign w:val="center"/>
          </w:tcPr>
          <w:p>
            <w:pPr>
              <w:spacing w:after="0" w:line="240" w:lineRule="auto"/>
              <w:jc w:val="left"/>
            </w:pPr>
            <w:r/>
            <w:r>
              <w:rPr>
                <w:rFonts w:ascii="Times New Roman" w:hAnsi="Times New Roman" w:eastAsia="宋体"/>
                <w:b w:val="0"/>
                <w:sz w:val="18"/>
              </w:rPr>
              <w:t>孔径、圆度、圆柱度、直线度或间隙的示值误差与扩展不确定度</w:t>
            </w:r>
          </w:p>
        </w:tc>
      </w:tr>
    </w:tbl>
    <w:p/>
    <w:p>
      <w:pPr>
        <w:spacing w:line="360" w:lineRule="auto" w:after="0" w:before="0"/>
        <w:ind w:firstLine="420"/>
        <w:jc w:val="both"/>
      </w:pPr>
      <w:r>
        <w:rPr>
          <w:rFonts w:ascii="Times New Roman" w:hAnsi="Times New Roman" w:eastAsia="宋体"/>
          <w:sz w:val="21"/>
        </w:rPr>
        <w:t>不同层级指标不能互相替代。尤其是“像素分辨率”“位移分辨率”和算法拟合残差均不应直接表述为系统测量精度。</w:t>
      </w:r>
    </w:p>
    <w:p>
      <w:pPr>
        <w:pStyle w:val="Heading2"/>
        <w:keepNext/>
        <w:spacing w:before="200" w:after="120"/>
      </w:pPr>
      <w:r>
        <w:rPr>
          <w:rFonts w:ascii="Times New Roman" w:hAnsi="Times New Roman" w:eastAsia="黑体"/>
          <w:b/>
          <w:sz w:val="28"/>
        </w:rPr>
        <w:t>3 接触式探针测量方法</w:t>
      </w:r>
    </w:p>
    <w:p>
      <w:pPr>
        <w:pStyle w:val="Heading3"/>
        <w:keepNext/>
        <w:spacing w:before="200" w:after="120"/>
      </w:pPr>
      <w:r>
        <w:rPr>
          <w:rFonts w:ascii="Times New Roman" w:hAnsi="Times New Roman" w:eastAsia="黑体"/>
          <w:b/>
          <w:sz w:val="24"/>
        </w:rPr>
        <w:t>3.1 细长杆与微型触发探针</w:t>
      </w:r>
    </w:p>
    <w:p>
      <w:pPr>
        <w:spacing w:line="360" w:lineRule="auto" w:after="0" w:before="0"/>
        <w:ind w:firstLine="420"/>
        <w:jc w:val="both"/>
      </w:pPr>
      <w:r>
        <w:rPr>
          <w:rFonts w:ascii="Times New Roman" w:hAnsi="Times New Roman" w:eastAsia="宋体"/>
          <w:sz w:val="21"/>
        </w:rPr>
        <w:t>接触式方法以已知球头与表面接触，通过触发信号或探针挠度确定表面坐标。其突出优势是不依赖表面纹理、颜色及镜面反射，可直接继承坐标测量机的几何基准。传统方法采用加长直测针、L形或星形测针进入深孔和背向特征，但测针长度增加会显著降低横向刚度。运动副触发测头还存在方向相关的预行程，三点运动副通常呈现三叶状误差。Mayer等[6]、Woźniak和Dobosz[7-8]的理论与试验研究表明，预行程由测杆弯曲、触发机构刚度、摩擦及接近方向共同决定，单一等效球径不能完全补偿三维方向误差。</w:t>
      </w:r>
    </w:p>
    <w:p>
      <w:pPr>
        <w:spacing w:line="360" w:lineRule="auto" w:after="0" w:before="0"/>
        <w:ind w:firstLine="420"/>
        <w:jc w:val="both"/>
      </w:pPr>
      <w:r>
        <w:rPr>
          <w:rFonts w:ascii="Times New Roman" w:hAnsi="Times New Roman" w:eastAsia="宋体"/>
          <w:sz w:val="21"/>
        </w:rPr>
        <w:t>针对微孔和盲孔，研究者采用硅膜、柔性铰链、悬丝、压阻和谐振机构替代常规运动副，以降低测力并提高三维灵敏度。Zhang和Yang[9]较早提出小盲孔三维探针；Peiner等[10-11]研制的细长MEMS悬臂可进入高深径比小孔，连续获取轮廓和粗糙度。微型化使测力降至微牛或亚毫牛量级，但范德华力、液桥力和静电力相对于探头自重快速增加，可能引起粘附、跳脱和探球损伤[2-3]。因此，微探针的关键不只是低测力，还包括接触状态识别、可靠脱离及探球形貌溯源。</w:t>
      </w:r>
    </w:p>
    <w:p>
      <w:pPr>
        <w:pStyle w:val="Heading3"/>
        <w:keepNext/>
        <w:spacing w:before="200" w:after="120"/>
      </w:pPr>
      <w:r>
        <w:rPr>
          <w:rFonts w:ascii="Times New Roman" w:hAnsi="Times New Roman" w:eastAsia="黑体"/>
          <w:b/>
          <w:sz w:val="24"/>
        </w:rPr>
        <w:t>3.2 扫描、柔性与异形探针</w:t>
      </w:r>
    </w:p>
    <w:p>
      <w:pPr>
        <w:spacing w:line="360" w:lineRule="auto" w:after="0" w:before="0"/>
        <w:ind w:firstLine="420"/>
        <w:jc w:val="both"/>
      </w:pPr>
      <w:r>
        <w:rPr>
          <w:rFonts w:ascii="Times New Roman" w:hAnsi="Times New Roman" w:eastAsia="宋体"/>
          <w:sz w:val="21"/>
        </w:rPr>
        <w:t>扫描探针连续读取探头挠度和机器坐标，点密度和测量效率高于离散触发，适合圆柱度和内壁轮廓测量。但长测针扫描会引入速度相关的动态滞后、惯性、测力变化和表面机械滤波；扫描速度接近测杆固有频率时，局部传感误差可能被放大。扫描并不天然比触发更准确，应在实际长度、方向、测力和速度下进行动态标定。</w:t>
      </w:r>
    </w:p>
    <w:p>
      <w:pPr>
        <w:spacing w:line="360" w:lineRule="auto" w:after="0" w:before="0"/>
        <w:ind w:firstLine="420"/>
        <w:jc w:val="both"/>
      </w:pPr>
      <w:r>
        <w:rPr>
          <w:rFonts w:ascii="Times New Roman" w:hAnsi="Times New Roman" w:eastAsia="宋体"/>
          <w:sz w:val="21"/>
        </w:rPr>
        <w:t>玻璃光纤兼具小直径、柔顺性和较大过行程容限，末端可熔制微球，探球位移可由显微成像、回光能量或光纤光栅应变读取。Muralikrishnan等[12]的光纤挠曲探针面向小孔计量；Cui等[13]基于回光能量构建0.1～3.0 mm孔径范围的光纤探针，报告了0.04 μm空间分辨率和0.06 μm触发重复性。后续双光纤—FBG及正交准直结构实现了径向和轴向解耦[14-15]。但这些分辨率反映探头读出能力，最终孔径不确定度仍受探球球度、孔轴对准、工作直径和运动平台误差限制。</w:t>
      </w:r>
    </w:p>
    <w:p>
      <w:pPr>
        <w:spacing w:line="360" w:lineRule="auto" w:after="0" w:before="0"/>
        <w:ind w:firstLine="420"/>
        <w:jc w:val="both"/>
      </w:pPr>
      <w:r>
        <w:rPr>
          <w:rFonts w:ascii="Times New Roman" w:hAnsi="Times New Roman" w:eastAsia="宋体"/>
          <w:sz w:val="21"/>
        </w:rPr>
        <w:t>对于窄缝、内螺纹和背向侧壁，T形等异形探针可利用双侧接触测量缝宽或节径[16]。异形探针改变了接触法向和受力路径，常规标准球标定不能充分复现实际工况，需要球对、环规或缝宽标准器进行任务相关标定。</w:t>
      </w:r>
    </w:p>
    <w:p>
      <w:pPr>
        <w:pStyle w:val="Heading3"/>
        <w:keepNext/>
        <w:spacing w:before="200" w:after="120"/>
      </w:pPr>
      <w:r>
        <w:rPr>
          <w:rFonts w:ascii="Times New Roman" w:hAnsi="Times New Roman" w:eastAsia="黑体"/>
          <w:b/>
          <w:sz w:val="24"/>
        </w:rPr>
        <w:t>3.3 适用边界</w:t>
      </w:r>
    </w:p>
    <w:p>
      <w:pPr>
        <w:spacing w:line="360" w:lineRule="auto" w:after="0" w:before="0"/>
        <w:ind w:firstLine="420"/>
        <w:jc w:val="both"/>
      </w:pPr>
      <w:r>
        <w:rPr>
          <w:rFonts w:ascii="Times New Roman" w:hAnsi="Times New Roman" w:eastAsia="宋体"/>
          <w:sz w:val="21"/>
        </w:rPr>
        <w:t>接触式方法适合弱纹理、高反射、透明度变化或光照不可控的表面，且易于建立可溯源坐标。然而，可进入性与刚度、测力和三维灵敏度之间存在根本矛盾：长而细的探针易挠曲和振动，增大刚度又会提高测力和探头尺寸。盲孔底部、侧壁和过渡圆角还可能因测杆遮挡而无法由同一球头完整覆盖。其发展重点是微型三维探头、深度相关挠曲补偿、低力接触状态判别和防碰撞路径规划。</w:t>
      </w:r>
    </w:p>
    <w:p>
      <w:pPr>
        <w:pStyle w:val="Heading2"/>
        <w:keepNext/>
        <w:spacing w:before="200" w:after="120"/>
      </w:pPr>
      <w:r>
        <w:rPr>
          <w:rFonts w:ascii="Times New Roman" w:hAnsi="Times New Roman" w:eastAsia="黑体"/>
          <w:b/>
          <w:sz w:val="28"/>
        </w:rPr>
        <w:t>4 内窥视觉几何测量方法</w:t>
      </w:r>
    </w:p>
    <w:p>
      <w:pPr>
        <w:pStyle w:val="Heading3"/>
        <w:keepNext/>
        <w:spacing w:before="200" w:after="120"/>
      </w:pPr>
      <w:r>
        <w:rPr>
          <w:rFonts w:ascii="Times New Roman" w:hAnsi="Times New Roman" w:eastAsia="黑体"/>
          <w:b/>
          <w:sz w:val="24"/>
        </w:rPr>
        <w:t>4.1 单目内窥测量</w:t>
      </w:r>
    </w:p>
    <w:p>
      <w:pPr>
        <w:spacing w:line="360" w:lineRule="auto" w:after="0" w:before="0"/>
        <w:ind w:firstLine="420"/>
        <w:jc w:val="both"/>
      </w:pPr>
      <w:r>
        <w:rPr>
          <w:rFonts w:ascii="Times New Roman" w:hAnsi="Times New Roman" w:eastAsia="宋体"/>
          <w:sz w:val="21"/>
        </w:rPr>
        <w:t>工业内窥镜体积小、工作距离大、操作灵活，是在役装备内部检查的主要工具。单目图像可通过已知尺寸参照物、已知管径、编码工作距离、外部位姿或CAD配准恢复尺度。若场景、距离和物体尺寸均未知，单帧透视图像不能唯一恢复绝对尺寸；仅以像素长度表征缺陷不属于完整几何计量。Kim和Park[17]利用参照尺度开展内窥尺寸估计，结果随工作距离增加而恶化，说明共面假设和姿态偏差是单目定量化的主要限制。</w:t>
      </w:r>
    </w:p>
    <w:p>
      <w:pPr>
        <w:spacing w:line="360" w:lineRule="auto" w:after="0" w:before="0"/>
        <w:ind w:firstLine="420"/>
        <w:jc w:val="both"/>
      </w:pPr>
      <w:r>
        <w:rPr>
          <w:rFonts w:ascii="Times New Roman" w:hAnsi="Times New Roman" w:eastAsia="宋体"/>
          <w:sz w:val="21"/>
        </w:rPr>
        <w:t>单目视频可利用运动恢复结构（SfM）、束调整和多视图立体视觉构建内表面。Hansen等[18-19]将立体视觉里程计和稀疏主动距离用于天然气管道建图；Kagami等[20]把圆柱或圆锥约束加入管网重建。几何先验能够抑制尺度和姿态漂移，但过强的理想圆柱约束也可能把真实椭圆、凹陷等待测变形“校正”掉。因此，先验应作为带不确定度的软约束，并由独立尺度基准验证。</w:t>
      </w:r>
    </w:p>
    <w:p>
      <w:pPr>
        <w:pStyle w:val="Heading3"/>
        <w:keepNext/>
        <w:spacing w:before="200" w:after="120"/>
      </w:pPr>
      <w:r>
        <w:rPr>
          <w:rFonts w:ascii="Times New Roman" w:hAnsi="Times New Roman" w:eastAsia="黑体"/>
          <w:b/>
          <w:sz w:val="24"/>
        </w:rPr>
        <w:t>4.2 双目与多目内窥测量</w:t>
      </w:r>
    </w:p>
    <w:p>
      <w:pPr>
        <w:spacing w:line="360" w:lineRule="auto" w:after="0" w:before="0"/>
        <w:ind w:firstLine="420"/>
        <w:jc w:val="both"/>
      </w:pPr>
      <w:r>
        <w:rPr>
          <w:rFonts w:ascii="Times New Roman" w:hAnsi="Times New Roman" w:eastAsia="宋体"/>
          <w:sz w:val="21"/>
        </w:rPr>
        <w:t>双目系统通过标定基线和视差直接恢复有尺度三维坐标，适合叶片损伤、冷却孔和间隙测量。其深度不确定度近似与 \(Z^2/(fB)\) 成正比，其中 \(Z\) 为距离、\(f\) 为焦距、\(B\) 为基线。狭小入口迫使基线缩短，远距离下视差迅速减小；弱纹理、重复纹理和高光还会导致误匹配。Cheng等[21]将双目重建用于涡轮叶片冷却孔测量，在0.3～1.2 mm孔径范围内报告了小于0.05 mm的平均误差。</w:t>
      </w:r>
    </w:p>
    <w:p>
      <w:pPr>
        <w:spacing w:line="360" w:lineRule="auto" w:after="0" w:before="0"/>
        <w:ind w:firstLine="420"/>
        <w:jc w:val="both"/>
      </w:pPr>
      <w:r>
        <w:rPr>
          <w:rFonts w:ascii="Times New Roman" w:hAnsi="Times New Roman" w:eastAsia="宋体"/>
          <w:sz w:val="21"/>
        </w:rPr>
        <w:t>多相机、反射镜或环向虚拟视点可增加覆盖率。Yang等[22]构建面向小直径管道的多相机三维视觉系统，对直径、同轴度和标志尺寸分别报告了0.035、0.066和0.024 mm的测量精度。但相机数量增加会扩大内外参数集合，系统准确度取决于真实/虚拟视点与探头机械轴的联合标定，而非单个相机的重投影残差。</w:t>
      </w:r>
    </w:p>
    <w:p>
      <w:pPr>
        <w:pStyle w:val="Heading3"/>
        <w:keepNext/>
        <w:spacing w:before="200" w:after="120"/>
      </w:pPr>
      <w:r>
        <w:rPr>
          <w:rFonts w:ascii="Times New Roman" w:hAnsi="Times New Roman" w:eastAsia="黑体"/>
          <w:b/>
          <w:sz w:val="24"/>
        </w:rPr>
        <w:t>4.3 标定、畸变与复杂表面</w:t>
      </w:r>
    </w:p>
    <w:p>
      <w:pPr>
        <w:spacing w:line="360" w:lineRule="auto" w:after="0" w:before="0"/>
        <w:ind w:firstLine="420"/>
        <w:jc w:val="both"/>
      </w:pPr>
      <w:r>
        <w:rPr>
          <w:rFonts w:ascii="Times New Roman" w:hAnsi="Times New Roman" w:eastAsia="宋体"/>
          <w:sz w:val="21"/>
        </w:rPr>
        <w:t>内窥镜常采用广角、鱼眼、斜视棱镜、反射镜或成像光纤，简单针孔模型难以描述其边缘成像。标定至少应覆盖焦距、主点、径向/切向畸变和实际工作距离；双目系统还需标定基线、相对姿态与同步。斜视镜管能够相对相机头旋转时，旋转轴与光轴偏置也必须纳入模型。Zhang标定法[23]为常规相机提供基础框架，但狭小视场标定板难以布置，应结合微型平面靶、三维标准器或自标定约束。重投影误差只反映模型内部一致性，不能替代环规、量块、CMM或参考扫描的外部量值验证。</w:t>
      </w:r>
    </w:p>
    <w:p>
      <w:pPr>
        <w:spacing w:line="360" w:lineRule="auto" w:after="0" w:before="0"/>
        <w:ind w:firstLine="420"/>
        <w:jc w:val="both"/>
      </w:pPr>
      <w:r>
        <w:rPr>
          <w:rFonts w:ascii="Times New Roman" w:hAnsi="Times New Roman" w:eastAsia="宋体"/>
          <w:sz w:val="21"/>
        </w:rPr>
        <w:t>抛光金属和弱纹理内壁违反传统立体匹配的亮度恒常假设。高光会随视点移动，不能作为固定表面特征。交叉偏振、窄带滤光、HDR、多方向照明和主动纹理可提高有效点率；偏振或明暗恢复形状可补充稠密法线，但对光源和反射模型敏感，仍需由双目、主动光或标准特征提供尺度与低频形状约束[24]。</w:t>
      </w:r>
    </w:p>
    <w:p>
      <w:pPr>
        <w:pStyle w:val="Heading2"/>
        <w:keepNext/>
        <w:spacing w:before="200" w:after="120"/>
      </w:pPr>
      <w:r>
        <w:rPr>
          <w:rFonts w:ascii="Times New Roman" w:hAnsi="Times New Roman" w:eastAsia="黑体"/>
          <w:b/>
          <w:sz w:val="28"/>
        </w:rPr>
        <w:t>5 主动光学探头测量方法</w:t>
      </w:r>
    </w:p>
    <w:p>
      <w:pPr>
        <w:pStyle w:val="Heading3"/>
        <w:keepNext/>
        <w:spacing w:before="200" w:after="120"/>
      </w:pPr>
      <w:r>
        <w:rPr>
          <w:rFonts w:ascii="Times New Roman" w:hAnsi="Times New Roman" w:eastAsia="黑体"/>
          <w:b/>
          <w:sz w:val="24"/>
        </w:rPr>
        <w:t>5.1 激光三角与结构光</w:t>
      </w:r>
    </w:p>
    <w:p>
      <w:pPr>
        <w:spacing w:line="360" w:lineRule="auto" w:after="0" w:before="0"/>
        <w:ind w:firstLine="420"/>
        <w:jc w:val="both"/>
      </w:pPr>
      <w:r>
        <w:rPr>
          <w:rFonts w:ascii="Times New Roman" w:hAnsi="Times New Roman" w:eastAsia="宋体"/>
          <w:sz w:val="21"/>
        </w:rPr>
        <w:t>主动三角法由已知激光平面、相机光心和成像点求取表面坐标。按一次采样覆盖范围可分为点、线、环和面结构光；环形结构光本质上仍属于三角测量，并非与激光三角互斥的独立原理。点式探头结构简单、局部精度高，但需旋转和轴向扫描；线光经45°反射镜折转可形成侧视轮廓；激光照射锥镜形成环形光平面后，可单帧采集近似360°截面。</w:t>
      </w:r>
    </w:p>
    <w:p>
      <w:pPr>
        <w:spacing w:line="360" w:lineRule="auto" w:after="0" w:before="0"/>
        <w:ind w:firstLine="420"/>
        <w:jc w:val="both"/>
      </w:pPr>
      <w:r>
        <w:rPr>
          <w:rFonts w:ascii="Times New Roman" w:hAnsi="Times New Roman" w:eastAsia="宋体"/>
          <w:sz w:val="21"/>
        </w:rPr>
        <w:t>Wakayama等[25]采用光纤环形光束装置研制直径约5 mm的管内轮廓探头。Zhu等[26]针对深孔内表面建立激光三角系统，并考虑装配误差和透明窗口折射。Li等[27]将改进线结构光用于紧凑空间三维重建，探头最大厚度约6 mm，实验重建误差小于10 μm。多环和多色结构光通过一次形成多个截面提高轴向效率，并可借助圆柱约束估计探头姿态[28-29]。对于窄口大腔，多相机低重叠视场与传感器旋转可扩展覆盖，但多相机外参、旋转轴和光平面的联合标定成为系统误差核心[30]。</w:t>
      </w:r>
    </w:p>
    <w:p>
      <w:pPr>
        <w:spacing w:line="360" w:lineRule="auto" w:after="0" w:before="0"/>
        <w:ind w:firstLine="420"/>
        <w:jc w:val="both"/>
      </w:pPr>
      <w:r>
        <w:rPr>
          <w:rFonts w:ascii="Times New Roman" w:hAnsi="Times New Roman" w:eastAsia="宋体"/>
          <w:sz w:val="21"/>
        </w:rPr>
        <w:t>结构光的优势是点密度高、速度快，适合深孔和管道全内壁轮廓；局限包括三角基线随探头微型化而缩短、光条散斑与饱和、坡面中心偏移、多重反射和遮挡。规则圆孔上的微米级结果不能直接外推至倒扣、交叉孔和高反射叶片内腔。</w:t>
      </w:r>
    </w:p>
    <w:p>
      <w:pPr>
        <w:pStyle w:val="Heading3"/>
        <w:keepNext/>
        <w:spacing w:before="200" w:after="120"/>
      </w:pPr>
      <w:r>
        <w:rPr>
          <w:rFonts w:ascii="Times New Roman" w:hAnsi="Times New Roman" w:eastAsia="黑体"/>
          <w:b/>
          <w:sz w:val="24"/>
        </w:rPr>
        <w:t>5.2 共焦测量</w:t>
      </w:r>
    </w:p>
    <w:p>
      <w:pPr>
        <w:spacing w:line="360" w:lineRule="auto" w:after="0" w:before="0"/>
        <w:ind w:firstLine="420"/>
        <w:jc w:val="both"/>
      </w:pPr>
      <w:r>
        <w:rPr>
          <w:rFonts w:ascii="Times New Roman" w:hAnsi="Times New Roman" w:eastAsia="宋体"/>
          <w:sz w:val="21"/>
        </w:rPr>
        <w:t>色散共焦利用色散物镜使不同波长聚焦于不同轴向位置，由回波谱峰确定距离。侧视物镜或微棱镜可将光束折转90°，通过旋转—进给螺旋扫描获得内壁轮廓。与三角法相比，共焦探头不依赖较长几何基线，对粗糙度和高反射表面具有一定适应性，适合毫米级孔径的精密形状测量。其限制是量程通常为数百微米至数毫米，需保持表面位于有效轴向范围；谱峰会受到倾斜、材料色散、信噪比和多反射影响。</w:t>
      </w:r>
    </w:p>
    <w:p>
      <w:pPr>
        <w:spacing w:line="360" w:lineRule="auto" w:after="0" w:before="0"/>
        <w:ind w:firstLine="420"/>
        <w:jc w:val="both"/>
      </w:pPr>
      <w:r>
        <w:rPr>
          <w:rFonts w:ascii="Times New Roman" w:hAnsi="Times New Roman" w:eastAsia="宋体"/>
          <w:sz w:val="21"/>
        </w:rPr>
        <w:t>三探头误差分离可将工件圆度与旋转轴误差分离[31]。基于侧向共焦传感和螺旋扫描的深孔系统已用于约6 mm孔径、数百毫米深度的形位测量，并通过阶梯环规实施全深度标定[32]。这类系统说明，传感器本体线性度并非长深孔测量的唯一限制，探杆挠曲、旋转轴跳动和深度分段外参补偿同样重要。</w:t>
      </w:r>
    </w:p>
    <w:p>
      <w:pPr>
        <w:pStyle w:val="Heading3"/>
        <w:keepNext/>
        <w:spacing w:before="200" w:after="120"/>
      </w:pPr>
      <w:r>
        <w:rPr>
          <w:rFonts w:ascii="Times New Roman" w:hAnsi="Times New Roman" w:eastAsia="黑体"/>
          <w:b/>
          <w:sz w:val="24"/>
        </w:rPr>
        <w:t>5.3 低相干干涉与光纤微型探头</w:t>
      </w:r>
    </w:p>
    <w:p>
      <w:pPr>
        <w:spacing w:line="360" w:lineRule="auto" w:after="0" w:before="0"/>
        <w:ind w:firstLine="420"/>
        <w:jc w:val="both"/>
      </w:pPr>
      <w:r>
        <w:rPr>
          <w:rFonts w:ascii="Times New Roman" w:hAnsi="Times New Roman" w:eastAsia="宋体"/>
          <w:sz w:val="21"/>
        </w:rPr>
        <w:t>低相干干涉根据参考光与测量光的光程匹配确定距离，采用共路Fizeau或串联结构可减小环境扰动。45°磨削光纤、微棱镜和GRIN透镜能够形成侧视光束；探头旋转后可扫描完整内壁。Pfeifer等[33]使用约80 μm光纤探头进入约125 μm喷孔，验证了超小孔非接触测量的可行性；Matsui等[34]利用约30 μm光纤和串联低相干干涉测量小内径。该方法有利于实现极小远端探头和亚微米局部测距，但通常需要单点机械扫描，对光纤弯曲、偏振、折射率、信号丢失和运动同步敏感。</w:t>
      </w:r>
    </w:p>
    <w:p>
      <w:pPr>
        <w:spacing w:line="360" w:lineRule="auto" w:after="0" w:before="0"/>
        <w:ind w:firstLine="420"/>
        <w:jc w:val="both"/>
      </w:pPr>
      <w:r>
        <w:rPr>
          <w:rFonts w:ascii="Times New Roman" w:hAnsi="Times New Roman" w:eastAsia="宋体"/>
          <w:sz w:val="21"/>
        </w:rPr>
        <w:t>“光纤探头”是一种光传输和微型封装平台，而不是独立测量原理。它可承载三角、共焦、干涉或OCT。评价光纤方案时，应说明实际距离获取机制、端面或折转器件结构、探头外径、工作距离和封装后的位姿稳定性，不能仅以裸纤直径代表工程可进入性。</w:t>
      </w:r>
    </w:p>
    <w:p>
      <w:pPr>
        <w:pStyle w:val="Heading2"/>
        <w:keepNext/>
        <w:spacing w:before="200" w:after="120"/>
      </w:pPr>
      <w:r>
        <w:rPr>
          <w:rFonts w:ascii="Times New Roman" w:hAnsi="Times New Roman" w:eastAsia="黑体"/>
          <w:b/>
          <w:sz w:val="28"/>
        </w:rPr>
        <w:t>6 狭小空间测量的共性关键技术</w:t>
      </w:r>
    </w:p>
    <w:p>
      <w:pPr>
        <w:pStyle w:val="Heading3"/>
        <w:keepNext/>
        <w:spacing w:before="200" w:after="120"/>
      </w:pPr>
      <w:r>
        <w:rPr>
          <w:rFonts w:ascii="Times New Roman" w:hAnsi="Times New Roman" w:eastAsia="黑体"/>
          <w:b/>
          <w:sz w:val="24"/>
        </w:rPr>
        <w:t>6.1 探头微型化与光路折转</w:t>
      </w:r>
    </w:p>
    <w:p>
      <w:pPr>
        <w:spacing w:line="360" w:lineRule="auto" w:after="0" w:before="0"/>
        <w:ind w:firstLine="420"/>
        <w:jc w:val="both"/>
      </w:pPr>
      <w:r>
        <w:rPr>
          <w:rFonts w:ascii="Times New Roman" w:hAnsi="Times New Roman" w:eastAsia="宋体"/>
          <w:sz w:val="21"/>
        </w:rPr>
        <w:t>探头缩小会同时降低接触测杆刚度、三角基线、接收孔径和光通量，形成“尺寸—量程—精度—鲁棒性”耦合。45°平面镜或微棱镜易于装调，但角度误差会耦合为径向比例和轴向误差；锥镜可形成360°环光，却对顶点、锥角和偏心敏感；45°磨削光纤可达到几十微米直径，但出射角受端面角和外部介质折射率影响。工程设计应报告包含保护套、照明、线缆和碰撞裕量的完整探头外径，而非仅报告核心敏感元件尺寸。</w:t>
      </w:r>
    </w:p>
    <w:p>
      <w:pPr>
        <w:pStyle w:val="Heading3"/>
        <w:keepNext/>
        <w:spacing w:before="200" w:after="120"/>
      </w:pPr>
      <w:r>
        <w:rPr>
          <w:rFonts w:ascii="Times New Roman" w:hAnsi="Times New Roman" w:eastAsia="黑体"/>
          <w:b/>
          <w:sz w:val="24"/>
        </w:rPr>
        <w:t>6.2 探头位姿与坐标传递</w:t>
      </w:r>
    </w:p>
    <w:p>
      <w:pPr>
        <w:spacing w:line="360" w:lineRule="auto" w:after="0" w:before="0"/>
        <w:ind w:firstLine="420"/>
        <w:jc w:val="both"/>
      </w:pPr>
      <w:r>
        <w:rPr>
          <w:rFonts w:ascii="Times New Roman" w:hAnsi="Times New Roman" w:eastAsia="宋体"/>
          <w:sz w:val="21"/>
        </w:rPr>
        <w:t>获得局部轮廓后，还须确定探头相对工件的六自由度位姿。刚性系统通常使用精密直线轴、回转轴和一次性手眼标定；长悬臂可采用激光准直、自准直或PSD同步估计偏心和倾斜；柔性内窥镜则依赖视觉里程计、形状传感、外部跟踪或CAD匹配。仅标定相机或位移传感器内参，而不标定“探头—运动轴—工件基准”外参，无法可靠评价直线度、同轴度和位置度。</w:t>
      </w:r>
    </w:p>
    <w:p>
      <w:pPr>
        <w:spacing w:line="360" w:lineRule="auto" w:after="0" w:before="0"/>
        <w:ind w:firstLine="420"/>
        <w:jc w:val="both"/>
      </w:pPr>
      <w:r>
        <w:rPr>
          <w:rFonts w:ascii="Times New Roman" w:hAnsi="Times New Roman" w:eastAsia="宋体"/>
          <w:sz w:val="21"/>
        </w:rPr>
        <w:t>自定心机构可减少探头偏心，却可能把局部孔形误差传入探头轨迹。利用理想圆柱约束估计姿态也存在相同风险。较稳健的策略是将机械约束、光学基准和表面几何作为带权观测联合优化，并保留各观测协方差。</w:t>
      </w:r>
    </w:p>
    <w:p>
      <w:pPr>
        <w:pStyle w:val="Heading3"/>
        <w:keepNext/>
        <w:spacing w:before="200" w:after="120"/>
      </w:pPr>
      <w:r>
        <w:rPr>
          <w:rFonts w:ascii="Times New Roman" w:hAnsi="Times New Roman" w:eastAsia="黑体"/>
          <w:b/>
          <w:sz w:val="24"/>
        </w:rPr>
        <w:t>6.3 系统标定与原位复核</w:t>
      </w:r>
    </w:p>
    <w:p>
      <w:pPr>
        <w:spacing w:line="360" w:lineRule="auto" w:after="0" w:before="0"/>
        <w:ind w:firstLine="420"/>
        <w:jc w:val="both"/>
      </w:pPr>
      <w:r>
        <w:rPr>
          <w:rFonts w:ascii="Times New Roman" w:hAnsi="Times New Roman" w:eastAsia="宋体"/>
          <w:sz w:val="21"/>
        </w:rPr>
        <w:t>主动光学系统的标定链至少包括：（1）相机、投影器或距离传感器内参；（2）激光平面、锥镜、微棱镜和保护窗口参数；（3）局部测量坐标相对探头机械轴的外参；（4）探头相对直线/回转轴的外参；（5）运动轴相对工件基准的坐标关系。接触式系统则需增加探球直径、球度、偏心、预行程和测力标定。</w:t>
      </w:r>
    </w:p>
    <w:p>
      <w:pPr>
        <w:spacing w:line="360" w:lineRule="auto" w:after="0" w:before="0"/>
        <w:ind w:firstLine="420"/>
        <w:jc w:val="both"/>
      </w:pPr>
      <w:r>
        <w:rPr>
          <w:rFonts w:ascii="Times New Roman" w:hAnsi="Times New Roman" w:eastAsia="宋体"/>
          <w:sz w:val="21"/>
        </w:rPr>
        <w:t>单一直径、单一深度的环规只能约束有限参数，难以分离比例、偏心、倾斜和深度挠曲。阶梯环规、多直径环规、标准球列和仿形内腔标准件更适合全深度标定。入口或夹具中集成参考环/球、正反向扫描及温度和姿态变化后的快速复核，有助于实现原位标定。Jackson等[35]对管道轮廓工具的研究表明，联合误差分析和校准可显著降低由制造装配偏差造成的尺寸误差。</w:t>
      </w:r>
    </w:p>
    <w:p>
      <w:pPr>
        <w:pStyle w:val="Heading3"/>
        <w:keepNext/>
        <w:spacing w:before="200" w:after="120"/>
      </w:pPr>
      <w:r>
        <w:rPr>
          <w:rFonts w:ascii="Times New Roman" w:hAnsi="Times New Roman" w:eastAsia="黑体"/>
          <w:b/>
          <w:sz w:val="24"/>
        </w:rPr>
        <w:t>6.4 多视场融合与完整重建</w:t>
      </w:r>
    </w:p>
    <w:p>
      <w:pPr>
        <w:spacing w:line="360" w:lineRule="auto" w:after="0" w:before="0"/>
        <w:ind w:firstLine="420"/>
        <w:jc w:val="both"/>
      </w:pPr>
      <w:r>
        <w:rPr>
          <w:rFonts w:ascii="Times New Roman" w:hAnsi="Times New Roman" w:eastAsia="宋体"/>
          <w:sz w:val="21"/>
        </w:rPr>
        <w:t>狭小空间常具有视场小、重叠低和纹理弱等特征，传统“特征匹配—ICP”链路容易退化。运动编码器、入口基准、圆柱/球面结构和探头机械约束可提供初始位姿；点到平面ICP、鲁棒损失、全局位姿图和闭环约束可降低串联漂移。应区分配准残差与配准误差：圆柱、平面或周期结构上即使拟合残差很小，沿对称方向仍可能存在不可观测漂移。最终应使用独立、可溯源的球距、孔距或长度标准验证。</w:t>
      </w:r>
    </w:p>
    <w:p>
      <w:pPr>
        <w:spacing w:line="360" w:lineRule="auto" w:after="0" w:before="0"/>
        <w:ind w:firstLine="420"/>
        <w:jc w:val="both"/>
      </w:pPr>
      <w:r>
        <w:rPr>
          <w:rFonts w:ascii="Times New Roman" w:hAnsi="Times New Roman" w:eastAsia="宋体"/>
          <w:sz w:val="21"/>
        </w:rPr>
        <w:t>对于倒扣、侧孔后壁和急剧台阶，单个环形视场存在物理不可见区，算法不能恢复未被照明或观测的真实表面。完整测量需要多视向探头、可调反射镜、柔性机器人改变姿态，或将不同物理原理融合。</w:t>
      </w:r>
    </w:p>
    <w:p>
      <w:pPr>
        <w:pStyle w:val="Heading3"/>
        <w:keepNext/>
        <w:spacing w:before="200" w:after="120"/>
      </w:pPr>
      <w:r>
        <w:rPr>
          <w:rFonts w:ascii="Times New Roman" w:hAnsi="Times New Roman" w:eastAsia="黑体"/>
          <w:b/>
          <w:sz w:val="24"/>
        </w:rPr>
        <w:t>6.5 误差与不确定度</w:t>
      </w:r>
    </w:p>
    <w:p>
      <w:pPr>
        <w:spacing w:line="360" w:lineRule="auto" w:after="0" w:before="0"/>
        <w:ind w:firstLine="420"/>
        <w:jc w:val="both"/>
      </w:pPr>
      <w:r>
        <w:rPr>
          <w:rFonts w:ascii="Times New Roman" w:hAnsi="Times New Roman" w:eastAsia="宋体"/>
          <w:sz w:val="21"/>
        </w:rPr>
        <w:t>任务输出 \(Y\) 的合成不确定度可概括为：</w:t>
      </w:r>
    </w:p>
    <w:p>
      <w:pPr>
        <w:spacing w:before="120" w:after="120"/>
        <w:jc w:val="center"/>
      </w:pPr>
      <w:r>
        <w:rPr>
          <w:rFonts w:ascii="Cambria Math" w:hAnsi="Cambria Math" w:eastAsia="Cambria Math"/>
          <w:sz w:val="21"/>
        </w:rPr>
        <w:t>u_c^2(Y)=u_{{std}}^2+u_{{sensor}}^2+ u_{{intrinsic}}^2+u_{{pose}}^2+ u_{{motion}}^2+u_{{registration}}^2+ u_{{surface}}^2+u_{{thermal}}^2+ u_{{algorithm}}^2</w:t>
      </w:r>
    </w:p>
    <w:p>
      <w:pPr>
        <w:spacing w:line="360" w:lineRule="auto" w:after="0" w:before="0"/>
        <w:ind w:firstLine="420"/>
        <w:jc w:val="both"/>
      </w:pPr>
      <w:r>
        <w:rPr>
          <w:rFonts w:ascii="Times New Roman" w:hAnsi="Times New Roman" w:eastAsia="宋体"/>
          <w:sz w:val="21"/>
        </w:rPr>
        <w:t>其中包括标准器、局部传感、内参、探头位姿、运动轴、配准、表面反射/接触、温度和特征拟合等分量。线性近似适用时可按GUM[36]传播；相机模型、ICP、最小区域圆柱度等非线性明显时，宜采用蒙特卡洛方法[37]。结果应报告扩展不确定度 \(U=k u_c\)、覆盖因子和测量条件，而不是将重复性标准差或与CMM的一次差值称为“不确定度”。</w:t>
      </w:r>
    </w:p>
    <w:p>
      <w:pPr>
        <w:pStyle w:val="Heading2"/>
        <w:keepNext/>
        <w:spacing w:before="200" w:after="120"/>
      </w:pPr>
      <w:r>
        <w:rPr>
          <w:rFonts w:ascii="Times New Roman" w:hAnsi="Times New Roman" w:eastAsia="黑体"/>
          <w:b/>
          <w:sz w:val="28"/>
        </w:rPr>
        <w:t>7 测量方法的性能比较</w:t>
      </w:r>
    </w:p>
    <w:p>
      <w:pPr>
        <w:spacing w:line="360" w:lineRule="auto" w:after="0" w:before="0"/>
        <w:ind w:firstLine="420"/>
        <w:jc w:val="both"/>
      </w:pPr>
      <w:r>
        <w:rPr>
          <w:rFonts w:ascii="Times New Roman" w:hAnsi="Times New Roman" w:eastAsia="宋体"/>
          <w:sz w:val="21"/>
        </w:rPr>
        <w:t>表1给出三类方法的定性比较。具体数值高度依赖孔径、深度、表面和标准件，不能脱离工况排序。</w:t>
      </w:r>
    </w:p>
    <w:p>
      <w:pPr>
        <w:spacing w:line="360" w:lineRule="auto" w:after="0" w:before="0"/>
        <w:ind w:firstLine="420"/>
        <w:jc w:val="both"/>
      </w:pPr>
      <w:r>
        <w:rPr>
          <w:rFonts w:ascii="Times New Roman" w:hAnsi="Times New Roman" w:eastAsia="宋体"/>
          <w:b/>
          <w:sz w:val="21"/>
        </w:rPr>
        <w:t>表1 主要方法的能力与限制</w:t>
      </w:r>
    </w:p>
    <w:tbl>
      <w:tblPr>
        <w:tblStyle w:val="TableGrid"/>
        <w:tblW w:type="auto" w:w="0"/>
        <w:jc w:val="center"/>
        <w:tblLayout w:type="autofit"/>
        <w:tblLook w:firstColumn="1" w:firstRow="1" w:lastColumn="0" w:lastRow="0" w:noHBand="0" w:noVBand="1" w:val="04A0"/>
      </w:tblPr>
      <w:tblGrid>
        <w:gridCol w:w="1769"/>
        <w:gridCol w:w="1769"/>
        <w:gridCol w:w="1769"/>
        <w:gridCol w:w="1769"/>
        <w:gridCol w:w="1769"/>
      </w:tblGrid>
      <w:tr>
        <w:trPr>
          <w:tblHeader w:val="true"/>
        </w:trPr>
        <w:tc>
          <w:tcPr>
            <w:tcW w:type="dxa" w:w="1769"/>
            <w:vAlign w:val="center"/>
            <w:shd w:fill="D9EAF7"/>
          </w:tcPr>
          <w:p>
            <w:pPr>
              <w:spacing w:after="0" w:line="240" w:lineRule="auto"/>
              <w:jc w:val="center"/>
            </w:pPr>
            <w:r/>
            <w:r>
              <w:rPr>
                <w:rFonts w:ascii="Times New Roman" w:hAnsi="Times New Roman" w:eastAsia="宋体"/>
                <w:b/>
                <w:sz w:val="18"/>
              </w:rPr>
              <w:t>方法</w:t>
            </w:r>
          </w:p>
        </w:tc>
        <w:tc>
          <w:tcPr>
            <w:tcW w:type="dxa" w:w="1769"/>
            <w:vAlign w:val="center"/>
            <w:shd w:fill="D9EAF7"/>
          </w:tcPr>
          <w:p>
            <w:pPr>
              <w:spacing w:after="0" w:line="240" w:lineRule="auto"/>
              <w:jc w:val="center"/>
            </w:pPr>
            <w:r/>
            <w:r>
              <w:rPr>
                <w:rFonts w:ascii="Times New Roman" w:hAnsi="Times New Roman" w:eastAsia="宋体"/>
                <w:b/>
                <w:sz w:val="18"/>
              </w:rPr>
              <w:t>可进入性</w:t>
            </w:r>
          </w:p>
        </w:tc>
        <w:tc>
          <w:tcPr>
            <w:tcW w:type="dxa" w:w="1769"/>
            <w:vAlign w:val="center"/>
            <w:shd w:fill="D9EAF7"/>
          </w:tcPr>
          <w:p>
            <w:pPr>
              <w:spacing w:after="0" w:line="240" w:lineRule="auto"/>
              <w:jc w:val="center"/>
            </w:pPr>
            <w:r/>
            <w:r>
              <w:rPr>
                <w:rFonts w:ascii="Times New Roman" w:hAnsi="Times New Roman" w:eastAsia="宋体"/>
                <w:b/>
                <w:sz w:val="18"/>
              </w:rPr>
              <w:t>主要优势</w:t>
            </w:r>
          </w:p>
        </w:tc>
        <w:tc>
          <w:tcPr>
            <w:tcW w:type="dxa" w:w="1769"/>
            <w:vAlign w:val="center"/>
            <w:shd w:fill="D9EAF7"/>
          </w:tcPr>
          <w:p>
            <w:pPr>
              <w:spacing w:after="0" w:line="240" w:lineRule="auto"/>
              <w:jc w:val="center"/>
            </w:pPr>
            <w:r/>
            <w:r>
              <w:rPr>
                <w:rFonts w:ascii="Times New Roman" w:hAnsi="Times New Roman" w:eastAsia="宋体"/>
                <w:b/>
                <w:sz w:val="18"/>
              </w:rPr>
              <w:t>主要限制</w:t>
            </w:r>
          </w:p>
        </w:tc>
        <w:tc>
          <w:tcPr>
            <w:tcW w:type="dxa" w:w="1769"/>
            <w:vAlign w:val="center"/>
            <w:shd w:fill="D9EAF7"/>
          </w:tcPr>
          <w:p>
            <w:pPr>
              <w:spacing w:after="0" w:line="240" w:lineRule="auto"/>
              <w:jc w:val="center"/>
            </w:pPr>
            <w:r/>
            <w:r>
              <w:rPr>
                <w:rFonts w:ascii="Times New Roman" w:hAnsi="Times New Roman" w:eastAsia="宋体"/>
                <w:b/>
                <w:sz w:val="18"/>
              </w:rPr>
              <w:t>典型任务</w:t>
            </w:r>
          </w:p>
        </w:tc>
      </w:tr>
      <w:tr>
        <w:tc>
          <w:tcPr>
            <w:tcW w:type="dxa" w:w="1769"/>
            <w:vAlign w:val="center"/>
          </w:tcPr>
          <w:p>
            <w:pPr>
              <w:spacing w:after="0" w:line="240" w:lineRule="auto"/>
              <w:jc w:val="left"/>
            </w:pPr>
            <w:r/>
            <w:r>
              <w:rPr>
                <w:rFonts w:ascii="Times New Roman" w:hAnsi="Times New Roman" w:eastAsia="宋体"/>
                <w:b w:val="0"/>
                <w:sz w:val="18"/>
              </w:rPr>
              <w:t>细长杆接触探针</w:t>
            </w:r>
          </w:p>
        </w:tc>
        <w:tc>
          <w:tcPr>
            <w:tcW w:type="dxa" w:w="1769"/>
            <w:vAlign w:val="center"/>
          </w:tcPr>
          <w:p>
            <w:pPr>
              <w:spacing w:after="0" w:line="240" w:lineRule="auto"/>
              <w:jc w:val="left"/>
            </w:pPr>
            <w:r/>
            <w:r>
              <w:rPr>
                <w:rFonts w:ascii="Times New Roman" w:hAnsi="Times New Roman" w:eastAsia="宋体"/>
                <w:b w:val="0"/>
                <w:sz w:val="18"/>
              </w:rPr>
              <w:t>中</w:t>
            </w:r>
          </w:p>
        </w:tc>
        <w:tc>
          <w:tcPr>
            <w:tcW w:type="dxa" w:w="1769"/>
            <w:vAlign w:val="center"/>
          </w:tcPr>
          <w:p>
            <w:pPr>
              <w:spacing w:after="0" w:line="240" w:lineRule="auto"/>
              <w:jc w:val="left"/>
            </w:pPr>
            <w:r/>
            <w:r>
              <w:rPr>
                <w:rFonts w:ascii="Times New Roman" w:hAnsi="Times New Roman" w:eastAsia="宋体"/>
                <w:b w:val="0"/>
                <w:sz w:val="18"/>
              </w:rPr>
              <w:t>可溯源、不依赖光学表面</w:t>
            </w:r>
          </w:p>
        </w:tc>
        <w:tc>
          <w:tcPr>
            <w:tcW w:type="dxa" w:w="1769"/>
            <w:vAlign w:val="center"/>
          </w:tcPr>
          <w:p>
            <w:pPr>
              <w:spacing w:after="0" w:line="240" w:lineRule="auto"/>
              <w:jc w:val="left"/>
            </w:pPr>
            <w:r/>
            <w:r>
              <w:rPr>
                <w:rFonts w:ascii="Times New Roman" w:hAnsi="Times New Roman" w:eastAsia="宋体"/>
                <w:b w:val="0"/>
                <w:sz w:val="18"/>
              </w:rPr>
              <w:t>挠曲、预行程、碰撞、速度低</w:t>
            </w:r>
          </w:p>
        </w:tc>
        <w:tc>
          <w:tcPr>
            <w:tcW w:type="dxa" w:w="1769"/>
            <w:vAlign w:val="center"/>
          </w:tcPr>
          <w:p>
            <w:pPr>
              <w:spacing w:after="0" w:line="240" w:lineRule="auto"/>
              <w:jc w:val="left"/>
            </w:pPr>
            <w:r/>
            <w:r>
              <w:rPr>
                <w:rFonts w:ascii="Times New Roman" w:hAnsi="Times New Roman" w:eastAsia="宋体"/>
                <w:b w:val="0"/>
                <w:sz w:val="18"/>
              </w:rPr>
              <w:t>深孔尺寸与形状</w:t>
            </w:r>
          </w:p>
        </w:tc>
      </w:tr>
      <w:tr>
        <w:tc>
          <w:tcPr>
            <w:tcW w:type="dxa" w:w="1769"/>
            <w:vAlign w:val="center"/>
          </w:tcPr>
          <w:p>
            <w:pPr>
              <w:spacing w:after="0" w:line="240" w:lineRule="auto"/>
              <w:jc w:val="left"/>
            </w:pPr>
            <w:r/>
            <w:r>
              <w:rPr>
                <w:rFonts w:ascii="Times New Roman" w:hAnsi="Times New Roman" w:eastAsia="宋体"/>
                <w:b w:val="0"/>
                <w:sz w:val="18"/>
              </w:rPr>
              <w:t>微型/光纤接触探针</w:t>
            </w:r>
          </w:p>
        </w:tc>
        <w:tc>
          <w:tcPr>
            <w:tcW w:type="dxa" w:w="1769"/>
            <w:vAlign w:val="center"/>
          </w:tcPr>
          <w:p>
            <w:pPr>
              <w:spacing w:after="0" w:line="240" w:lineRule="auto"/>
              <w:jc w:val="left"/>
            </w:pPr>
            <w:r/>
            <w:r>
              <w:rPr>
                <w:rFonts w:ascii="Times New Roman" w:hAnsi="Times New Roman" w:eastAsia="宋体"/>
                <w:b w:val="0"/>
                <w:sz w:val="18"/>
              </w:rPr>
              <w:t>高</w:t>
            </w:r>
          </w:p>
        </w:tc>
        <w:tc>
          <w:tcPr>
            <w:tcW w:type="dxa" w:w="1769"/>
            <w:vAlign w:val="center"/>
          </w:tcPr>
          <w:p>
            <w:pPr>
              <w:spacing w:after="0" w:line="240" w:lineRule="auto"/>
              <w:jc w:val="left"/>
            </w:pPr>
            <w:r/>
            <w:r>
              <w:rPr>
                <w:rFonts w:ascii="Times New Roman" w:hAnsi="Times New Roman" w:eastAsia="宋体"/>
                <w:b w:val="0"/>
                <w:sz w:val="18"/>
              </w:rPr>
              <w:t>探头小、测力低</w:t>
            </w:r>
          </w:p>
        </w:tc>
        <w:tc>
          <w:tcPr>
            <w:tcW w:type="dxa" w:w="1769"/>
            <w:vAlign w:val="center"/>
          </w:tcPr>
          <w:p>
            <w:pPr>
              <w:spacing w:after="0" w:line="240" w:lineRule="auto"/>
              <w:jc w:val="left"/>
            </w:pPr>
            <w:r/>
            <w:r>
              <w:rPr>
                <w:rFonts w:ascii="Times New Roman" w:hAnsi="Times New Roman" w:eastAsia="宋体"/>
                <w:b w:val="0"/>
                <w:sz w:val="18"/>
              </w:rPr>
              <w:t>粘附、球头标定、完整三维困难</w:t>
            </w:r>
          </w:p>
        </w:tc>
        <w:tc>
          <w:tcPr>
            <w:tcW w:type="dxa" w:w="1769"/>
            <w:vAlign w:val="center"/>
          </w:tcPr>
          <w:p>
            <w:pPr>
              <w:spacing w:after="0" w:line="240" w:lineRule="auto"/>
              <w:jc w:val="left"/>
            </w:pPr>
            <w:r/>
            <w:r>
              <w:rPr>
                <w:rFonts w:ascii="Times New Roman" w:hAnsi="Times New Roman" w:eastAsia="宋体"/>
                <w:b w:val="0"/>
                <w:sz w:val="18"/>
              </w:rPr>
              <w:t>微孔、微槽</w:t>
            </w:r>
          </w:p>
        </w:tc>
      </w:tr>
      <w:tr>
        <w:tc>
          <w:tcPr>
            <w:tcW w:type="dxa" w:w="1769"/>
            <w:vAlign w:val="center"/>
          </w:tcPr>
          <w:p>
            <w:pPr>
              <w:spacing w:after="0" w:line="240" w:lineRule="auto"/>
              <w:jc w:val="left"/>
            </w:pPr>
            <w:r/>
            <w:r>
              <w:rPr>
                <w:rFonts w:ascii="Times New Roman" w:hAnsi="Times New Roman" w:eastAsia="宋体"/>
                <w:b w:val="0"/>
                <w:sz w:val="18"/>
              </w:rPr>
              <w:t>单目内窥视觉</w:t>
            </w:r>
          </w:p>
        </w:tc>
        <w:tc>
          <w:tcPr>
            <w:tcW w:type="dxa" w:w="1769"/>
            <w:vAlign w:val="center"/>
          </w:tcPr>
          <w:p>
            <w:pPr>
              <w:spacing w:after="0" w:line="240" w:lineRule="auto"/>
              <w:jc w:val="left"/>
            </w:pPr>
            <w:r/>
            <w:r>
              <w:rPr>
                <w:rFonts w:ascii="Times New Roman" w:hAnsi="Times New Roman" w:eastAsia="宋体"/>
                <w:b w:val="0"/>
                <w:sz w:val="18"/>
              </w:rPr>
              <w:t>高</w:t>
            </w:r>
          </w:p>
        </w:tc>
        <w:tc>
          <w:tcPr>
            <w:tcW w:type="dxa" w:w="1769"/>
            <w:vAlign w:val="center"/>
          </w:tcPr>
          <w:p>
            <w:pPr>
              <w:spacing w:after="0" w:line="240" w:lineRule="auto"/>
              <w:jc w:val="left"/>
            </w:pPr>
            <w:r/>
            <w:r>
              <w:rPr>
                <w:rFonts w:ascii="Times New Roman" w:hAnsi="Times New Roman" w:eastAsia="宋体"/>
                <w:b w:val="0"/>
                <w:sz w:val="18"/>
              </w:rPr>
              <w:t>结构简单、视场大、操作灵活</w:t>
            </w:r>
          </w:p>
        </w:tc>
        <w:tc>
          <w:tcPr>
            <w:tcW w:type="dxa" w:w="1769"/>
            <w:vAlign w:val="center"/>
          </w:tcPr>
          <w:p>
            <w:pPr>
              <w:spacing w:after="0" w:line="240" w:lineRule="auto"/>
              <w:jc w:val="left"/>
            </w:pPr>
            <w:r/>
            <w:r>
              <w:rPr>
                <w:rFonts w:ascii="Times New Roman" w:hAnsi="Times New Roman" w:eastAsia="宋体"/>
                <w:b w:val="0"/>
                <w:sz w:val="18"/>
              </w:rPr>
              <w:t>绝对尺度不可观、依赖先验</w:t>
            </w:r>
          </w:p>
        </w:tc>
        <w:tc>
          <w:tcPr>
            <w:tcW w:type="dxa" w:w="1769"/>
            <w:vAlign w:val="center"/>
          </w:tcPr>
          <w:p>
            <w:pPr>
              <w:spacing w:after="0" w:line="240" w:lineRule="auto"/>
              <w:jc w:val="left"/>
            </w:pPr>
            <w:r/>
            <w:r>
              <w:rPr>
                <w:rFonts w:ascii="Times New Roman" w:hAnsi="Times New Roman" w:eastAsia="宋体"/>
                <w:b w:val="0"/>
                <w:sz w:val="18"/>
              </w:rPr>
              <w:t>已知尺度下的局部尺寸</w:t>
            </w:r>
          </w:p>
        </w:tc>
      </w:tr>
      <w:tr>
        <w:tc>
          <w:tcPr>
            <w:tcW w:type="dxa" w:w="1769"/>
            <w:vAlign w:val="center"/>
          </w:tcPr>
          <w:p>
            <w:pPr>
              <w:spacing w:after="0" w:line="240" w:lineRule="auto"/>
              <w:jc w:val="left"/>
            </w:pPr>
            <w:r/>
            <w:r>
              <w:rPr>
                <w:rFonts w:ascii="Times New Roman" w:hAnsi="Times New Roman" w:eastAsia="宋体"/>
                <w:b w:val="0"/>
                <w:sz w:val="18"/>
              </w:rPr>
              <w:t>双目/多目内窥视觉</w:t>
            </w:r>
          </w:p>
        </w:tc>
        <w:tc>
          <w:tcPr>
            <w:tcW w:type="dxa" w:w="1769"/>
            <w:vAlign w:val="center"/>
          </w:tcPr>
          <w:p>
            <w:pPr>
              <w:spacing w:after="0" w:line="240" w:lineRule="auto"/>
              <w:jc w:val="left"/>
            </w:pPr>
            <w:r/>
            <w:r>
              <w:rPr>
                <w:rFonts w:ascii="Times New Roman" w:hAnsi="Times New Roman" w:eastAsia="宋体"/>
                <w:b w:val="0"/>
                <w:sz w:val="18"/>
              </w:rPr>
              <w:t>中至高</w:t>
            </w:r>
          </w:p>
        </w:tc>
        <w:tc>
          <w:tcPr>
            <w:tcW w:type="dxa" w:w="1769"/>
            <w:vAlign w:val="center"/>
          </w:tcPr>
          <w:p>
            <w:pPr>
              <w:spacing w:after="0" w:line="240" w:lineRule="auto"/>
              <w:jc w:val="left"/>
            </w:pPr>
            <w:r/>
            <w:r>
              <w:rPr>
                <w:rFonts w:ascii="Times New Roman" w:hAnsi="Times New Roman" w:eastAsia="宋体"/>
                <w:b w:val="0"/>
                <w:sz w:val="18"/>
              </w:rPr>
              <w:t>面阵、有尺度、适合手持</w:t>
            </w:r>
          </w:p>
        </w:tc>
        <w:tc>
          <w:tcPr>
            <w:tcW w:type="dxa" w:w="1769"/>
            <w:vAlign w:val="center"/>
          </w:tcPr>
          <w:p>
            <w:pPr>
              <w:spacing w:after="0" w:line="240" w:lineRule="auto"/>
              <w:jc w:val="left"/>
            </w:pPr>
            <w:r/>
            <w:r>
              <w:rPr>
                <w:rFonts w:ascii="Times New Roman" w:hAnsi="Times New Roman" w:eastAsia="宋体"/>
                <w:b w:val="0"/>
                <w:sz w:val="18"/>
              </w:rPr>
              <w:t>短基线、弱纹理、反光</w:t>
            </w:r>
          </w:p>
        </w:tc>
        <w:tc>
          <w:tcPr>
            <w:tcW w:type="dxa" w:w="1769"/>
            <w:vAlign w:val="center"/>
          </w:tcPr>
          <w:p>
            <w:pPr>
              <w:spacing w:after="0" w:line="240" w:lineRule="auto"/>
              <w:jc w:val="left"/>
            </w:pPr>
            <w:r/>
            <w:r>
              <w:rPr>
                <w:rFonts w:ascii="Times New Roman" w:hAnsi="Times New Roman" w:eastAsia="宋体"/>
                <w:b w:val="0"/>
                <w:sz w:val="18"/>
              </w:rPr>
              <w:t>叶片、管道三维测量</w:t>
            </w:r>
          </w:p>
        </w:tc>
      </w:tr>
      <w:tr>
        <w:tc>
          <w:tcPr>
            <w:tcW w:type="dxa" w:w="1769"/>
            <w:vAlign w:val="center"/>
          </w:tcPr>
          <w:p>
            <w:pPr>
              <w:spacing w:after="0" w:line="240" w:lineRule="auto"/>
              <w:jc w:val="left"/>
            </w:pPr>
            <w:r/>
            <w:r>
              <w:rPr>
                <w:rFonts w:ascii="Times New Roman" w:hAnsi="Times New Roman" w:eastAsia="宋体"/>
                <w:b w:val="0"/>
                <w:sz w:val="18"/>
              </w:rPr>
              <w:t>线/环结构光</w:t>
            </w:r>
          </w:p>
        </w:tc>
        <w:tc>
          <w:tcPr>
            <w:tcW w:type="dxa" w:w="1769"/>
            <w:vAlign w:val="center"/>
          </w:tcPr>
          <w:p>
            <w:pPr>
              <w:spacing w:after="0" w:line="240" w:lineRule="auto"/>
              <w:jc w:val="left"/>
            </w:pPr>
            <w:r/>
            <w:r>
              <w:rPr>
                <w:rFonts w:ascii="Times New Roman" w:hAnsi="Times New Roman" w:eastAsia="宋体"/>
                <w:b w:val="0"/>
                <w:sz w:val="18"/>
              </w:rPr>
              <w:t>中</w:t>
            </w:r>
          </w:p>
        </w:tc>
        <w:tc>
          <w:tcPr>
            <w:tcW w:type="dxa" w:w="1769"/>
            <w:vAlign w:val="center"/>
          </w:tcPr>
          <w:p>
            <w:pPr>
              <w:spacing w:after="0" w:line="240" w:lineRule="auto"/>
              <w:jc w:val="left"/>
            </w:pPr>
            <w:r/>
            <w:r>
              <w:rPr>
                <w:rFonts w:ascii="Times New Roman" w:hAnsi="Times New Roman" w:eastAsia="宋体"/>
                <w:b w:val="0"/>
                <w:sz w:val="18"/>
              </w:rPr>
              <w:t>截面密度高、速度快</w:t>
            </w:r>
          </w:p>
        </w:tc>
        <w:tc>
          <w:tcPr>
            <w:tcW w:type="dxa" w:w="1769"/>
            <w:vAlign w:val="center"/>
          </w:tcPr>
          <w:p>
            <w:pPr>
              <w:spacing w:after="0" w:line="240" w:lineRule="auto"/>
              <w:jc w:val="left"/>
            </w:pPr>
            <w:r/>
            <w:r>
              <w:rPr>
                <w:rFonts w:ascii="Times New Roman" w:hAnsi="Times New Roman" w:eastAsia="宋体"/>
                <w:b w:val="0"/>
                <w:sz w:val="18"/>
              </w:rPr>
              <w:t>遮挡、散斑、多反射、联合标定复杂</w:t>
            </w:r>
          </w:p>
        </w:tc>
        <w:tc>
          <w:tcPr>
            <w:tcW w:type="dxa" w:w="1769"/>
            <w:vAlign w:val="center"/>
          </w:tcPr>
          <w:p>
            <w:pPr>
              <w:spacing w:after="0" w:line="240" w:lineRule="auto"/>
              <w:jc w:val="left"/>
            </w:pPr>
            <w:r/>
            <w:r>
              <w:rPr>
                <w:rFonts w:ascii="Times New Roman" w:hAnsi="Times New Roman" w:eastAsia="宋体"/>
                <w:b w:val="0"/>
                <w:sz w:val="18"/>
              </w:rPr>
              <w:t>深孔和管道内壁</w:t>
            </w:r>
          </w:p>
        </w:tc>
      </w:tr>
      <w:tr>
        <w:tc>
          <w:tcPr>
            <w:tcW w:type="dxa" w:w="1769"/>
            <w:vAlign w:val="center"/>
          </w:tcPr>
          <w:p>
            <w:pPr>
              <w:spacing w:after="0" w:line="240" w:lineRule="auto"/>
              <w:jc w:val="left"/>
            </w:pPr>
            <w:r/>
            <w:r>
              <w:rPr>
                <w:rFonts w:ascii="Times New Roman" w:hAnsi="Times New Roman" w:eastAsia="宋体"/>
                <w:b w:val="0"/>
                <w:sz w:val="18"/>
              </w:rPr>
              <w:t>色散共焦</w:t>
            </w:r>
          </w:p>
        </w:tc>
        <w:tc>
          <w:tcPr>
            <w:tcW w:type="dxa" w:w="1769"/>
            <w:vAlign w:val="center"/>
          </w:tcPr>
          <w:p>
            <w:pPr>
              <w:spacing w:after="0" w:line="240" w:lineRule="auto"/>
              <w:jc w:val="left"/>
            </w:pPr>
            <w:r/>
            <w:r>
              <w:rPr>
                <w:rFonts w:ascii="Times New Roman" w:hAnsi="Times New Roman" w:eastAsia="宋体"/>
                <w:b w:val="0"/>
                <w:sz w:val="18"/>
              </w:rPr>
              <w:t>中</w:t>
            </w:r>
          </w:p>
        </w:tc>
        <w:tc>
          <w:tcPr>
            <w:tcW w:type="dxa" w:w="1769"/>
            <w:vAlign w:val="center"/>
          </w:tcPr>
          <w:p>
            <w:pPr>
              <w:spacing w:after="0" w:line="240" w:lineRule="auto"/>
              <w:jc w:val="left"/>
            </w:pPr>
            <w:r/>
            <w:r>
              <w:rPr>
                <w:rFonts w:ascii="Times New Roman" w:hAnsi="Times New Roman" w:eastAsia="宋体"/>
                <w:b w:val="0"/>
                <w:sz w:val="18"/>
              </w:rPr>
              <w:t>微米级局部测距、表面适应性较好</w:t>
            </w:r>
          </w:p>
        </w:tc>
        <w:tc>
          <w:tcPr>
            <w:tcW w:type="dxa" w:w="1769"/>
            <w:vAlign w:val="center"/>
          </w:tcPr>
          <w:p>
            <w:pPr>
              <w:spacing w:after="0" w:line="240" w:lineRule="auto"/>
              <w:jc w:val="left"/>
            </w:pPr>
            <w:r/>
            <w:r>
              <w:rPr>
                <w:rFonts w:ascii="Times New Roman" w:hAnsi="Times New Roman" w:eastAsia="宋体"/>
                <w:b w:val="0"/>
                <w:sz w:val="18"/>
              </w:rPr>
              <w:t>量程小、需螺旋扫描</w:t>
            </w:r>
          </w:p>
        </w:tc>
        <w:tc>
          <w:tcPr>
            <w:tcW w:type="dxa" w:w="1769"/>
            <w:vAlign w:val="center"/>
          </w:tcPr>
          <w:p>
            <w:pPr>
              <w:spacing w:after="0" w:line="240" w:lineRule="auto"/>
              <w:jc w:val="left"/>
            </w:pPr>
            <w:r/>
            <w:r>
              <w:rPr>
                <w:rFonts w:ascii="Times New Roman" w:hAnsi="Times New Roman" w:eastAsia="宋体"/>
                <w:b w:val="0"/>
                <w:sz w:val="18"/>
              </w:rPr>
              <w:t>精密孔形和窄间隙</w:t>
            </w:r>
          </w:p>
        </w:tc>
      </w:tr>
      <w:tr>
        <w:tc>
          <w:tcPr>
            <w:tcW w:type="dxa" w:w="1769"/>
            <w:vAlign w:val="center"/>
          </w:tcPr>
          <w:p>
            <w:pPr>
              <w:spacing w:after="0" w:line="240" w:lineRule="auto"/>
              <w:jc w:val="left"/>
            </w:pPr>
            <w:r/>
            <w:r>
              <w:rPr>
                <w:rFonts w:ascii="Times New Roman" w:hAnsi="Times New Roman" w:eastAsia="宋体"/>
                <w:b w:val="0"/>
                <w:sz w:val="18"/>
              </w:rPr>
              <w:t>低相干干涉</w:t>
            </w:r>
          </w:p>
        </w:tc>
        <w:tc>
          <w:tcPr>
            <w:tcW w:type="dxa" w:w="1769"/>
            <w:vAlign w:val="center"/>
          </w:tcPr>
          <w:p>
            <w:pPr>
              <w:spacing w:after="0" w:line="240" w:lineRule="auto"/>
              <w:jc w:val="left"/>
            </w:pPr>
            <w:r/>
            <w:r>
              <w:rPr>
                <w:rFonts w:ascii="Times New Roman" w:hAnsi="Times New Roman" w:eastAsia="宋体"/>
                <w:b w:val="0"/>
                <w:sz w:val="18"/>
              </w:rPr>
              <w:t>很高</w:t>
            </w:r>
          </w:p>
        </w:tc>
        <w:tc>
          <w:tcPr>
            <w:tcW w:type="dxa" w:w="1769"/>
            <w:vAlign w:val="center"/>
          </w:tcPr>
          <w:p>
            <w:pPr>
              <w:spacing w:after="0" w:line="240" w:lineRule="auto"/>
              <w:jc w:val="left"/>
            </w:pPr>
            <w:r/>
            <w:r>
              <w:rPr>
                <w:rFonts w:ascii="Times New Roman" w:hAnsi="Times New Roman" w:eastAsia="宋体"/>
                <w:b w:val="0"/>
                <w:sz w:val="18"/>
              </w:rPr>
              <w:t>远端可极小、局部分辨率高</w:t>
            </w:r>
          </w:p>
        </w:tc>
        <w:tc>
          <w:tcPr>
            <w:tcW w:type="dxa" w:w="1769"/>
            <w:vAlign w:val="center"/>
          </w:tcPr>
          <w:p>
            <w:pPr>
              <w:spacing w:after="0" w:line="240" w:lineRule="auto"/>
              <w:jc w:val="left"/>
            </w:pPr>
            <w:r/>
            <w:r>
              <w:rPr>
                <w:rFonts w:ascii="Times New Roman" w:hAnsi="Times New Roman" w:eastAsia="宋体"/>
                <w:b w:val="0"/>
                <w:sz w:val="18"/>
              </w:rPr>
              <w:t>单点扫描慢、信号与运动敏感</w:t>
            </w:r>
          </w:p>
        </w:tc>
        <w:tc>
          <w:tcPr>
            <w:tcW w:type="dxa" w:w="1769"/>
            <w:vAlign w:val="center"/>
          </w:tcPr>
          <w:p>
            <w:pPr>
              <w:spacing w:after="0" w:line="240" w:lineRule="auto"/>
              <w:jc w:val="left"/>
            </w:pPr>
            <w:r/>
            <w:r>
              <w:rPr>
                <w:rFonts w:ascii="Times New Roman" w:hAnsi="Times New Roman" w:eastAsia="宋体"/>
                <w:b w:val="0"/>
                <w:sz w:val="18"/>
              </w:rPr>
              <w:t>喷孔和小内径</w:t>
            </w:r>
          </w:p>
        </w:tc>
      </w:tr>
    </w:tbl>
    <w:p/>
    <w:p>
      <w:pPr>
        <w:spacing w:line="360" w:lineRule="auto" w:after="0" w:before="0"/>
        <w:ind w:firstLine="420"/>
        <w:jc w:val="both"/>
      </w:pPr>
      <w:r>
        <w:rPr>
          <w:rFonts w:ascii="Times New Roman" w:hAnsi="Times New Roman" w:eastAsia="宋体"/>
          <w:sz w:val="21"/>
        </w:rPr>
        <w:t>文献中的代表性结果进一步说明了尺度差异：光纤接触探针可进入约百微米孔[12-15]；折叠线结构光探头厚度约6 mm并达到十微米级受控试件误差[27]；多环结构光适合15 mm及以上孔径并能快速获取全截面[29]；工业深孔装置则可覆盖百毫米孔径和数百毫米深度，但整体形状误差仍处于十微米至亚毫米量级。上述数字分别可能表示分辨率、重复性、平均偏差或扩展不确定度，只有在定义、标准器和覆盖概率一致时才具有可比性。</w:t>
      </w:r>
    </w:p>
    <w:p>
      <w:pPr>
        <w:spacing w:line="360" w:lineRule="auto" w:after="0" w:before="0"/>
        <w:ind w:firstLine="420"/>
        <w:jc w:val="both"/>
      </w:pPr>
      <w:r>
        <w:rPr>
          <w:rFonts w:ascii="Times New Roman" w:hAnsi="Times New Roman" w:eastAsia="宋体"/>
          <w:sz w:val="21"/>
        </w:rPr>
        <w:t>技术选型应先确定任务和不确定度，再选择原理：（1）高反射或弱纹理微孔优先考虑接触或干涉；（2）规则深孔全内壁高密度测量优先考虑环结构光或共焦螺旋扫描；（3）复杂叶片和在役内腔优先考虑双目或面结构光内窥；（4）倒扣和低可见区域需要多视向或多模态方案。单一“最高精度”指标不足以指导工程选择。</w:t>
      </w:r>
    </w:p>
    <w:p>
      <w:pPr>
        <w:pStyle w:val="Heading2"/>
        <w:keepNext/>
        <w:spacing w:before="200" w:after="120"/>
      </w:pPr>
      <w:r>
        <w:rPr>
          <w:rFonts w:ascii="Times New Roman" w:hAnsi="Times New Roman" w:eastAsia="黑体"/>
          <w:b/>
          <w:sz w:val="28"/>
        </w:rPr>
        <w:t>8 典型应用进展</w:t>
      </w:r>
    </w:p>
    <w:p>
      <w:pPr>
        <w:pStyle w:val="Heading3"/>
        <w:keepNext/>
        <w:spacing w:before="200" w:after="120"/>
      </w:pPr>
      <w:r>
        <w:rPr>
          <w:rFonts w:ascii="Times New Roman" w:hAnsi="Times New Roman" w:eastAsia="黑体"/>
          <w:b/>
          <w:sz w:val="24"/>
        </w:rPr>
        <w:t>8.1 深孔、盲孔与微孔</w:t>
      </w:r>
    </w:p>
    <w:p>
      <w:pPr>
        <w:spacing w:line="360" w:lineRule="auto" w:after="0" w:before="0"/>
        <w:ind w:firstLine="420"/>
        <w:jc w:val="both"/>
      </w:pPr>
      <w:r>
        <w:rPr>
          <w:rFonts w:ascii="Times New Roman" w:hAnsi="Times New Roman" w:eastAsia="宋体"/>
          <w:sz w:val="21"/>
        </w:rPr>
        <w:t>深孔测量对象包括孔径、锥度、圆度、圆柱度、轴线直线度和局部形貌。大孔径、超长深孔可采用自定心接触模块、环形结构光或侧视共焦；微孔则依赖微型接触/光纤探针和低相干干涉。盲孔比通孔更困难，因为同一探头需覆盖侧壁、孔底和过渡圆角。验证时不能只用入口段CMM数据代表全深度，应采用多深度环规或可拆分仿形标准件。</w:t>
      </w:r>
    </w:p>
    <w:p>
      <w:pPr>
        <w:pStyle w:val="Heading3"/>
        <w:keepNext/>
        <w:spacing w:before="200" w:after="120"/>
      </w:pPr>
      <w:r>
        <w:rPr>
          <w:rFonts w:ascii="Times New Roman" w:hAnsi="Times New Roman" w:eastAsia="黑体"/>
          <w:b/>
          <w:sz w:val="24"/>
        </w:rPr>
        <w:t>8.2 管道与复杂流道</w:t>
      </w:r>
    </w:p>
    <w:p>
      <w:pPr>
        <w:spacing w:line="360" w:lineRule="auto" w:after="0" w:before="0"/>
        <w:ind w:firstLine="420"/>
        <w:jc w:val="both"/>
      </w:pPr>
      <w:r>
        <w:rPr>
          <w:rFonts w:ascii="Times New Roman" w:hAnsi="Times New Roman" w:eastAsia="宋体"/>
          <w:sz w:val="21"/>
        </w:rPr>
        <w:t>管道测量不仅包括截面直径、椭圆度和局部腐蚀几何，还包括沿程中心线和全局形状。环形激光适合长直管，立体视觉和视觉里程计适合管网建图，多视向结构光适合分叉及复杂流道。局部轮廓准确不等于全局管线准确，必须同时报告探头轨迹、闭环漂移和坐标基准误差。保护玻璃、介质折射率、油污和水膜也是现场条件下不可忽略的误差源。</w:t>
      </w:r>
    </w:p>
    <w:p>
      <w:pPr>
        <w:pStyle w:val="Heading3"/>
        <w:keepNext/>
        <w:spacing w:before="200" w:after="120"/>
      </w:pPr>
      <w:r>
        <w:rPr>
          <w:rFonts w:ascii="Times New Roman" w:hAnsi="Times New Roman" w:eastAsia="黑体"/>
          <w:b/>
          <w:sz w:val="24"/>
        </w:rPr>
        <w:t>8.3 航空发动机内腔</w:t>
      </w:r>
    </w:p>
    <w:p>
      <w:pPr>
        <w:spacing w:line="360" w:lineRule="auto" w:after="0" w:before="0"/>
        <w:ind w:firstLine="420"/>
        <w:jc w:val="both"/>
      </w:pPr>
      <w:r>
        <w:rPr>
          <w:rFonts w:ascii="Times New Roman" w:hAnsi="Times New Roman" w:eastAsia="宋体"/>
          <w:sz w:val="21"/>
        </w:rPr>
        <w:t>航空发动机的几何任务包括叶片凹坑和烧蚀的长度、深度与面积，叶尖—机匣间隙，冷却孔孔径、位置和倾角，以及叶片相对CAD的表面偏差。双目测量适合局部损伤定量，条纹或线结构光能够改善低纹理区域的稠密度。Middendorf等[38]将内窥三维数据与部件位姿和参考测量关联，用于叶片损伤表征。动态叶尖间隙则通常采用安装在机匣上的反射式光纤传感器[39]，其带宽和动态误差与静态内窥三维测量不同，不应使用同一指标横向排名。</w:t>
      </w:r>
    </w:p>
    <w:p>
      <w:pPr>
        <w:pStyle w:val="Heading3"/>
        <w:keepNext/>
        <w:spacing w:before="200" w:after="120"/>
      </w:pPr>
      <w:r>
        <w:rPr>
          <w:rFonts w:ascii="Times New Roman" w:hAnsi="Times New Roman" w:eastAsia="黑体"/>
          <w:b/>
          <w:sz w:val="24"/>
        </w:rPr>
        <w:t>8.4 窄间隙与复杂内表面</w:t>
      </w:r>
    </w:p>
    <w:p>
      <w:pPr>
        <w:spacing w:line="360" w:lineRule="auto" w:after="0" w:before="0"/>
        <w:ind w:firstLine="420"/>
        <w:jc w:val="both"/>
      </w:pPr>
      <w:r>
        <w:rPr>
          <w:rFonts w:ascii="Times New Roman" w:hAnsi="Times New Roman" w:eastAsia="宋体"/>
          <w:sz w:val="21"/>
        </w:rPr>
        <w:t>装配间隙、密封间隙和狭槽通常不要求完整点云，而关注量程内线性、两壁反射率差异、探头倾角、边缘效应和最小碰撞裕量。接触T形探针适合静态缝宽，共焦和反射式光纤适合非接触间隙，三角法适合具有足够光学基线的开放狭槽。方法评价应与任务输出一致，不能以点云数量替代间隙不确定度。</w:t>
      </w:r>
    </w:p>
    <w:p>
      <w:pPr>
        <w:pStyle w:val="Heading2"/>
        <w:keepNext/>
        <w:spacing w:before="200" w:after="120"/>
      </w:pPr>
      <w:r>
        <w:rPr>
          <w:rFonts w:ascii="Times New Roman" w:hAnsi="Times New Roman" w:eastAsia="黑体"/>
          <w:b/>
          <w:sz w:val="28"/>
        </w:rPr>
        <w:t>9 关键问题与发展趋势</w:t>
      </w:r>
    </w:p>
    <w:p>
      <w:pPr>
        <w:pStyle w:val="Heading3"/>
        <w:keepNext/>
        <w:spacing w:before="200" w:after="120"/>
      </w:pPr>
      <w:r>
        <w:rPr>
          <w:rFonts w:ascii="Times New Roman" w:hAnsi="Times New Roman" w:eastAsia="黑体"/>
          <w:b/>
          <w:sz w:val="24"/>
        </w:rPr>
        <w:t>9.1 从局部高分辨率向全链高准确度发展</w:t>
      </w:r>
    </w:p>
    <w:p>
      <w:pPr>
        <w:spacing w:line="360" w:lineRule="auto" w:after="0" w:before="0"/>
        <w:ind w:firstLine="420"/>
        <w:jc w:val="both"/>
      </w:pPr>
      <w:r>
        <w:rPr>
          <w:rFonts w:ascii="Times New Roman" w:hAnsi="Times New Roman" w:eastAsia="宋体"/>
          <w:sz w:val="21"/>
        </w:rPr>
        <w:t>现有研究已能实现纳米级探头读出或数十微米直径的远端敏感元件，但系统级几何量仍受位姿和坐标传递限制。未来应联合标定传感器、折转光学、探杆、运动轴和工件基准，并报告随插入深度变化的误差场，而非单点最佳性能。</w:t>
      </w:r>
    </w:p>
    <w:p>
      <w:pPr>
        <w:pStyle w:val="Heading3"/>
        <w:keepNext/>
        <w:spacing w:before="200" w:after="120"/>
      </w:pPr>
      <w:r>
        <w:rPr>
          <w:rFonts w:ascii="Times New Roman" w:hAnsi="Times New Roman" w:eastAsia="黑体"/>
          <w:b/>
          <w:sz w:val="24"/>
        </w:rPr>
        <w:t>9.2 多模态微型探头</w:t>
      </w:r>
    </w:p>
    <w:p>
      <w:pPr>
        <w:spacing w:line="360" w:lineRule="auto" w:after="0" w:before="0"/>
        <w:ind w:firstLine="420"/>
        <w:jc w:val="both"/>
      </w:pPr>
      <w:r>
        <w:rPr>
          <w:rFonts w:ascii="Times New Roman" w:hAnsi="Times New Roman" w:eastAsia="宋体"/>
          <w:sz w:val="21"/>
        </w:rPr>
        <w:t>不同原理具有互补性：结构光适合快速全局定位，共焦或低相干干涉适合局部高精度，触觉探针不受反射率影响。共轴或邻轴集成的多模态探头可根据表面状态切换，并利用共同坐标减少配准误差。其挑战在于体积、热管理、光路串扰及多传感器外参稳定性。</w:t>
      </w:r>
    </w:p>
    <w:p>
      <w:pPr>
        <w:pStyle w:val="Heading3"/>
        <w:keepNext/>
        <w:spacing w:before="200" w:after="120"/>
      </w:pPr>
      <w:r>
        <w:rPr>
          <w:rFonts w:ascii="Times New Roman" w:hAnsi="Times New Roman" w:eastAsia="黑体"/>
          <w:b/>
          <w:sz w:val="24"/>
        </w:rPr>
        <w:t>9.3 原位自标定与智能位姿感知</w:t>
      </w:r>
    </w:p>
    <w:p>
      <w:pPr>
        <w:spacing w:line="360" w:lineRule="auto" w:after="0" w:before="0"/>
        <w:ind w:firstLine="420"/>
        <w:jc w:val="both"/>
      </w:pPr>
      <w:r>
        <w:rPr>
          <w:rFonts w:ascii="Times New Roman" w:hAnsi="Times New Roman" w:eastAsia="宋体"/>
          <w:sz w:val="21"/>
        </w:rPr>
        <w:t>入口参考环、嵌入式基准、准直参考光、形状传感和机器人运动学可为插入过程中提供连续位姿约束。与仅利用理想圆柱拟合相比，多源观测联合优化更不易掩盖真实形状误差。自标定算法还应输出参数协方差和可观测性，而不仅是最小重投影残差。</w:t>
      </w:r>
    </w:p>
    <w:p>
      <w:pPr>
        <w:pStyle w:val="Heading3"/>
        <w:keepNext/>
        <w:spacing w:before="200" w:after="120"/>
      </w:pPr>
      <w:r>
        <w:rPr>
          <w:rFonts w:ascii="Times New Roman" w:hAnsi="Times New Roman" w:eastAsia="黑体"/>
          <w:b/>
          <w:sz w:val="24"/>
        </w:rPr>
        <w:t>9.4 复杂表面的物理—数据融合</w:t>
      </w:r>
    </w:p>
    <w:p>
      <w:pPr>
        <w:spacing w:line="360" w:lineRule="auto" w:after="0" w:before="0"/>
        <w:ind w:firstLine="420"/>
        <w:jc w:val="both"/>
      </w:pPr>
      <w:r>
        <w:rPr>
          <w:rFonts w:ascii="Times New Roman" w:hAnsi="Times New Roman" w:eastAsia="宋体"/>
          <w:sz w:val="21"/>
        </w:rPr>
        <w:t>HDR、偏振和多波段照明可减弱高光与暗表面影响；学习方法可用于光条中心提取、曝光控制、粗位姿估计和无效点判别。但神经网络测试误差不能直接作为计量准确度。物理模型、标准器验证、域外表面试验和不确定度传播，是学习方法进入工业计量的前提。</w:t>
      </w:r>
    </w:p>
    <w:p>
      <w:pPr>
        <w:pStyle w:val="Heading3"/>
        <w:keepNext/>
        <w:spacing w:before="200" w:after="120"/>
      </w:pPr>
      <w:r>
        <w:rPr>
          <w:rFonts w:ascii="Times New Roman" w:hAnsi="Times New Roman" w:eastAsia="黑体"/>
          <w:b/>
          <w:sz w:val="24"/>
        </w:rPr>
        <w:t>9.5 柔性机器人与自主测量</w:t>
      </w:r>
    </w:p>
    <w:p>
      <w:pPr>
        <w:spacing w:line="360" w:lineRule="auto" w:after="0" w:before="0"/>
        <w:ind w:firstLine="420"/>
        <w:jc w:val="both"/>
      </w:pPr>
      <w:r>
        <w:rPr>
          <w:rFonts w:ascii="Times New Roman" w:hAnsi="Times New Roman" w:eastAsia="宋体"/>
          <w:sz w:val="21"/>
        </w:rPr>
        <w:t>蛇形机器人、柔性内窥镜和管道机器人能够改变探头姿态、绕过遮挡并提高覆盖率。自主系统需同时解决可观测性驱动的路径规划、实时防碰撞、柔性体形状估计和测量质量在线评估。规划目标应由“覆盖更多点”转向“降低目标几何量的不确定度”。</w:t>
      </w:r>
    </w:p>
    <w:p>
      <w:pPr>
        <w:pStyle w:val="Heading3"/>
        <w:keepNext/>
        <w:spacing w:before="200" w:after="120"/>
      </w:pPr>
      <w:r>
        <w:rPr>
          <w:rFonts w:ascii="Times New Roman" w:hAnsi="Times New Roman" w:eastAsia="黑体"/>
          <w:b/>
          <w:sz w:val="24"/>
        </w:rPr>
        <w:t>9.6 标准器、数据集与评价规范</w:t>
      </w:r>
    </w:p>
    <w:p>
      <w:pPr>
        <w:spacing w:line="360" w:lineRule="auto" w:after="0" w:before="0"/>
        <w:ind w:firstLine="420"/>
        <w:jc w:val="both"/>
      </w:pPr>
      <w:r>
        <w:rPr>
          <w:rFonts w:ascii="Times New Roman" w:hAnsi="Times New Roman" w:eastAsia="宋体"/>
          <w:sz w:val="21"/>
        </w:rPr>
        <w:t>现有研究常使用规则环规和漫反射试件，复杂倒扣、未处理金属、油污和在线振动条件验证不足。应发展可通过小入口安装或可拆分的阶梯环规、球列和自由曲面内腔标准器，构建包含原始图像、位姿、环境、可溯源真值及不确定度的数据集。接触式探测可参考ISO 10360-5[40]，光学三维坐标测量可参考ISO 10360-13[41]，任务相关不确定度可采用ISO 15530-3的已校准工件方法[42]；但这些标准仍需针对高反射、长深径比和柔性探头工况补充专用程序。</w:t>
      </w:r>
    </w:p>
    <w:p>
      <w:pPr>
        <w:pStyle w:val="Heading2"/>
        <w:keepNext/>
        <w:spacing w:before="200" w:after="120"/>
      </w:pPr>
      <w:r>
        <w:rPr>
          <w:rFonts w:ascii="Times New Roman" w:hAnsi="Times New Roman" w:eastAsia="黑体"/>
          <w:b/>
          <w:sz w:val="28"/>
        </w:rPr>
        <w:t>10 结论</w:t>
      </w:r>
    </w:p>
    <w:p>
      <w:pPr>
        <w:spacing w:line="360" w:lineRule="auto" w:after="0" w:before="0"/>
        <w:ind w:firstLine="420"/>
        <w:jc w:val="both"/>
      </w:pPr>
      <w:r>
        <w:rPr>
          <w:rFonts w:ascii="Times New Roman" w:hAnsi="Times New Roman" w:eastAsia="宋体"/>
          <w:sz w:val="21"/>
        </w:rPr>
        <w:t>工业狭小空间几何测量不是常规传感器的小型化应用，而是局部感知、探头进入、位姿确定、坐标传递和量值溯源相互耦合的系统计量问题。接触式探针具有表面适应性和溯源优势，但受挠曲、测力和覆盖效率限制；内窥视觉具有灵活和面阵优势，但绝对尺度、短基线及弱纹理问题突出；主动结构光适合快速内壁重建，共焦和低相干干涉则在精密小孔与局部距离测量中更具潜力。</w:t>
      </w:r>
    </w:p>
    <w:p>
      <w:pPr>
        <w:spacing w:line="360" w:lineRule="auto" w:after="0" w:before="0"/>
        <w:ind w:firstLine="420"/>
        <w:jc w:val="both"/>
      </w:pPr>
      <w:r>
        <w:rPr>
          <w:rFonts w:ascii="Times New Roman" w:hAnsi="Times New Roman" w:eastAsia="宋体"/>
          <w:sz w:val="21"/>
        </w:rPr>
        <w:t>现有工作的主要不足不是缺少更高的局部分辨率，而是缺少全深度、复杂表面和真实环境下的任务相关不确定度。未来研究应围绕多模态微型探头、全链联合标定、连续位姿感知、结构约束多视场融合、以不确定度为目标的自主测量，以及统一标准器和公开基准展开。只有将可进入性、完整覆盖和量值溯源同时纳入设计，才能推动狭小空间测量由实验室原型走向可比较、可复现的工业计量系统。</w:t>
      </w:r>
    </w:p>
    <w:p>
      <w:pPr>
        <w:pStyle w:val="Heading2"/>
        <w:keepNext/>
        <w:spacing w:before="200" w:after="120"/>
      </w:pPr>
      <w:r>
        <w:rPr>
          <w:rFonts w:ascii="Times New Roman" w:hAnsi="Times New Roman" w:eastAsia="黑体"/>
          <w:b/>
          <w:sz w:val="28"/>
        </w:rPr>
        <w:t>参考文献</w:t>
      </w:r>
    </w:p>
    <w:p>
      <w:pPr>
        <w:spacing w:line="240" w:lineRule="auto" w:after="60"/>
        <w:ind w:left="420" w:hanging="420"/>
        <w:jc w:val="both"/>
      </w:pPr>
      <w:r>
        <w:rPr>
          <w:rFonts w:ascii="Times New Roman" w:hAnsi="Times New Roman" w:eastAsia="宋体"/>
          <w:sz w:val="18"/>
        </w:rPr>
        <w:t>[1] Weckenmann A, Estler T, Peggs G, McMurtry D. Probing systems in dimensional metrology[J]. CIRP Annals, 2004, 53(2): 657-684. DOI: 10.1016/S0007-8506(07)60034-1.</w:t>
      </w:r>
    </w:p>
    <w:p>
      <w:pPr>
        <w:spacing w:line="240" w:lineRule="auto" w:after="60"/>
        <w:ind w:left="420" w:hanging="420"/>
        <w:jc w:val="both"/>
      </w:pPr>
      <w:r>
        <w:rPr>
          <w:rFonts w:ascii="Times New Roman" w:hAnsi="Times New Roman" w:eastAsia="宋体"/>
          <w:sz w:val="18"/>
        </w:rPr>
        <w:t>[2] Thalmann R, Meli F, Küng A. State of the art of tactile micro coordinate metrology[J]. Applied Sciences, 2016, 6(5): 150. DOI: 10.3390/app6050150.</w:t>
      </w:r>
    </w:p>
    <w:p>
      <w:pPr>
        <w:spacing w:line="240" w:lineRule="auto" w:after="60"/>
        <w:ind w:left="420" w:hanging="420"/>
        <w:jc w:val="both"/>
      </w:pPr>
      <w:r>
        <w:rPr>
          <w:rFonts w:ascii="Times New Roman" w:hAnsi="Times New Roman" w:eastAsia="宋体"/>
          <w:sz w:val="18"/>
        </w:rPr>
        <w:t>[3] Watanabe Y. Surface-sensing principle of microprobe system for micro-scale coordinate metrology: A review[J]. Metrology, 2022, 2(1): 46-72. DOI: 10.3390/metrology2010004.</w:t>
      </w:r>
    </w:p>
    <w:p>
      <w:pPr>
        <w:spacing w:line="240" w:lineRule="auto" w:after="60"/>
        <w:ind w:left="420" w:hanging="420"/>
        <w:jc w:val="both"/>
      </w:pPr>
      <w:r>
        <w:rPr>
          <w:rFonts w:ascii="Times New Roman" w:hAnsi="Times New Roman" w:eastAsia="宋体"/>
          <w:sz w:val="18"/>
        </w:rPr>
        <w:t>[4] Hovell T, Petzing J, Guo W, et al. Measurement techniques for three-dimensional metrology of high aspect ratio internal features—A review[J]. Metrology, 2023, 3(2): 139-168. DOI: 10.3390/metrology3020009.</w:t>
      </w:r>
    </w:p>
    <w:p>
      <w:pPr>
        <w:spacing w:line="240" w:lineRule="auto" w:after="60"/>
        <w:ind w:left="420" w:hanging="420"/>
        <w:jc w:val="both"/>
      </w:pPr>
      <w:r>
        <w:rPr>
          <w:rFonts w:ascii="Times New Roman" w:hAnsi="Times New Roman" w:eastAsia="宋体"/>
          <w:sz w:val="18"/>
        </w:rPr>
        <w:t>[5] Jiao F, Liu L, Cheng W, et al. Review of optical measurement techniques for measuring three-dimensional topography of inner-wall-shaped parts[J]. Measurement, 2022, 202: 111794. DOI: 10.1016/j.measurement.2022.111794.</w:t>
      </w:r>
    </w:p>
    <w:p>
      <w:pPr>
        <w:spacing w:line="240" w:lineRule="auto" w:after="60"/>
        <w:ind w:left="420" w:hanging="420"/>
        <w:jc w:val="both"/>
      </w:pPr>
      <w:r>
        <w:rPr>
          <w:rFonts w:ascii="Times New Roman" w:hAnsi="Times New Roman" w:eastAsia="宋体"/>
          <w:sz w:val="18"/>
        </w:rPr>
        <w:t>[6] Mayer J R R, Ghazzar A, Rossy O. 3D characterisation, modelling and compensation of the pre-travel of a kinematic touch trigger probe[J]. Measurement, 1996, 19(2): 83-94. DOI: 10.1016/S0263-2241(96)00068-1.</w:t>
      </w:r>
    </w:p>
    <w:p>
      <w:pPr>
        <w:spacing w:line="240" w:lineRule="auto" w:after="60"/>
        <w:ind w:left="420" w:hanging="420"/>
        <w:jc w:val="both"/>
      </w:pPr>
      <w:r>
        <w:rPr>
          <w:rFonts w:ascii="Times New Roman" w:hAnsi="Times New Roman" w:eastAsia="宋体"/>
          <w:sz w:val="18"/>
        </w:rPr>
        <w:t>[7] Woźniak A, Dobosz M. Metrological feasibilities of CMM touch trigger probes. Part I: 3D theoretical model of probe pretravel[J]. Measurement, 2003, 34(4): 273-286. DOI: 10.1016/j.measurement.2003.05.001.</w:t>
      </w:r>
    </w:p>
    <w:p>
      <w:pPr>
        <w:spacing w:line="240" w:lineRule="auto" w:after="60"/>
        <w:ind w:left="420" w:hanging="420"/>
        <w:jc w:val="both"/>
      </w:pPr>
      <w:r>
        <w:rPr>
          <w:rFonts w:ascii="Times New Roman" w:hAnsi="Times New Roman" w:eastAsia="宋体"/>
          <w:sz w:val="18"/>
        </w:rPr>
        <w:t>[8] Dobosz M, Woźniak A. Metrological feasibilities of CMM touch trigger probes. Part II: Experimental verification[J]. Measurement, 2003, 34(4): 287-299. DOI: 10.1016/j.measurement.2003.05.002.</w:t>
      </w:r>
    </w:p>
    <w:p>
      <w:pPr>
        <w:spacing w:line="240" w:lineRule="auto" w:after="60"/>
        <w:ind w:left="420" w:hanging="420"/>
        <w:jc w:val="both"/>
      </w:pPr>
      <w:r>
        <w:rPr>
          <w:rFonts w:ascii="Times New Roman" w:hAnsi="Times New Roman" w:eastAsia="宋体"/>
          <w:sz w:val="18"/>
        </w:rPr>
        <w:t>[9] Zhang G X, Yang S M. A 3D probe for measuring small blind holes[J]. CIRP Annals, 1995, 44(1): 461-464. DOI: 10.1016/S0007-8506(07)62363-4.</w:t>
      </w:r>
    </w:p>
    <w:p>
      <w:pPr>
        <w:spacing w:line="240" w:lineRule="auto" w:after="60"/>
        <w:ind w:left="420" w:hanging="420"/>
        <w:jc w:val="both"/>
      </w:pPr>
      <w:r>
        <w:rPr>
          <w:rFonts w:ascii="Times New Roman" w:hAnsi="Times New Roman" w:eastAsia="宋体"/>
          <w:sz w:val="18"/>
        </w:rPr>
        <w:t>[10] Peiner E, Balke M, Doering L. Slender tactile sensor for contour and roughness measurements within deep and narrow holes[J]. IEEE Sensors Journal, 2008, 8(12): 1960-1967. DOI: 10.1109/JSEN.2008.2006701.</w:t>
      </w:r>
    </w:p>
    <w:p>
      <w:pPr>
        <w:spacing w:line="240" w:lineRule="auto" w:after="60"/>
        <w:ind w:left="420" w:hanging="420"/>
        <w:jc w:val="both"/>
      </w:pPr>
      <w:r>
        <w:rPr>
          <w:rFonts w:ascii="Times New Roman" w:hAnsi="Times New Roman" w:eastAsia="宋体"/>
          <w:sz w:val="18"/>
        </w:rPr>
        <w:t>[11] Peiner E, Doering L. MEMS cantilever sensor for non-destructive metrology within high-aspect-ratio micro holes[J]. Microsystem Technologies, 2010, 16: 1259-1268. DOI: 10.1007/s00542-009-0951-x.</w:t>
      </w:r>
    </w:p>
    <w:p>
      <w:pPr>
        <w:spacing w:line="240" w:lineRule="auto" w:after="60"/>
        <w:ind w:left="420" w:hanging="420"/>
        <w:jc w:val="both"/>
      </w:pPr>
      <w:r>
        <w:rPr>
          <w:rFonts w:ascii="Times New Roman" w:hAnsi="Times New Roman" w:eastAsia="宋体"/>
          <w:sz w:val="18"/>
        </w:rPr>
        <w:t>[12] Muralikrishnan B, Stone J A, Stoup J R. Fiber deflection probe for small hole metrology[J]. Precision Engineering, 2006, 30(2): 154-164. DOI: 10.1016/j.precisioneng.2005.07.004.</w:t>
      </w:r>
    </w:p>
    <w:p>
      <w:pPr>
        <w:spacing w:line="240" w:lineRule="auto" w:after="60"/>
        <w:ind w:left="420" w:hanging="420"/>
        <w:jc w:val="both"/>
      </w:pPr>
      <w:r>
        <w:rPr>
          <w:rFonts w:ascii="Times New Roman" w:hAnsi="Times New Roman" w:eastAsia="宋体"/>
          <w:sz w:val="18"/>
        </w:rPr>
        <w:t>[13] Cui J, Li L, Li J, Tan J. Fiber probe for micro-hole measurement based on detection of returning light energy[J]. Sensors and Actuators A: Physical, 2013, 190: 13-18. DOI: 10.1016/j.sna.2012.10.030.</w:t>
      </w:r>
    </w:p>
    <w:p>
      <w:pPr>
        <w:spacing w:line="240" w:lineRule="auto" w:after="60"/>
        <w:ind w:left="420" w:hanging="420"/>
        <w:jc w:val="both"/>
      </w:pPr>
      <w:r>
        <w:rPr>
          <w:rFonts w:ascii="Times New Roman" w:hAnsi="Times New Roman" w:eastAsia="宋体"/>
          <w:sz w:val="18"/>
        </w:rPr>
        <w:t>[14] Cui J, Feng K, Li J, Tan J. Development of a double fiber probe with a single fiber Bragg grating for dimensional measurement of microholes with high aspect ratios[J]. Optics Letters, 2014, 39(10): 2868-2871. DOI: 10.1364/OL.39.002868.</w:t>
      </w:r>
    </w:p>
    <w:p>
      <w:pPr>
        <w:spacing w:line="240" w:lineRule="auto" w:after="60"/>
        <w:ind w:left="420" w:hanging="420"/>
        <w:jc w:val="both"/>
      </w:pPr>
      <w:r>
        <w:rPr>
          <w:rFonts w:ascii="Times New Roman" w:hAnsi="Times New Roman" w:eastAsia="宋体"/>
          <w:sz w:val="18"/>
        </w:rPr>
        <w:t>[15] Cui J, Li J, Feng K, et al. A 3D fiber probe based on orthogonal micro focal-length collimation and fiber Bragg grating[J]. Measurement Science and Technology, 2016, 27(7): 074005. DOI: 10.1088/0957-0233/27/7/074005.</w:t>
      </w:r>
    </w:p>
    <w:p>
      <w:pPr>
        <w:spacing w:line="240" w:lineRule="auto" w:after="60"/>
        <w:ind w:left="420" w:hanging="420"/>
        <w:jc w:val="both"/>
      </w:pPr>
      <w:r>
        <w:rPr>
          <w:rFonts w:ascii="Times New Roman" w:hAnsi="Times New Roman" w:eastAsia="宋体"/>
          <w:sz w:val="18"/>
        </w:rPr>
        <w:t>[16] Wedmann A, Kniel K, Krah T, Härtig F. T-shaped microprobe and gap measurement standard for inner microstructures[J]. Measurement, 2016, 94: 949-953. DOI: 10.1016/j.measurement.2015.11.048.</w:t>
      </w:r>
    </w:p>
    <w:p>
      <w:pPr>
        <w:spacing w:line="240" w:lineRule="auto" w:after="60"/>
        <w:ind w:left="420" w:hanging="420"/>
        <w:jc w:val="both"/>
      </w:pPr>
      <w:r>
        <w:rPr>
          <w:rFonts w:ascii="Times New Roman" w:hAnsi="Times New Roman" w:eastAsia="宋体"/>
          <w:sz w:val="18"/>
        </w:rPr>
        <w:t>[17] Kim H S, Park Y S. Object dimension estimation for remote visual inspection in borescope systems[J]. KSII Transactions on Internet and Information Systems, 2019, 13(8): 4160-4173. DOI: 10.3837/tiis.2019.08.019.</w:t>
      </w:r>
    </w:p>
    <w:p>
      <w:pPr>
        <w:spacing w:line="240" w:lineRule="auto" w:after="60"/>
        <w:ind w:left="420" w:hanging="420"/>
        <w:jc w:val="both"/>
      </w:pPr>
      <w:r>
        <w:rPr>
          <w:rFonts w:ascii="Times New Roman" w:hAnsi="Times New Roman" w:eastAsia="宋体"/>
          <w:sz w:val="18"/>
        </w:rPr>
        <w:t>[18] Hansen P, Alismail H, Browning B, Rander P. Stereo visual odometry for pipe mapping[C]//2011 IEEE/RSJ International Conference on Intelligent Robots and Systems. 2011: 4020-4025. DOI: 10.1109/IROS.2011.6094911.</w:t>
      </w:r>
    </w:p>
    <w:p>
      <w:pPr>
        <w:spacing w:line="240" w:lineRule="auto" w:after="60"/>
        <w:ind w:left="420" w:hanging="420"/>
        <w:jc w:val="both"/>
      </w:pPr>
      <w:r>
        <w:rPr>
          <w:rFonts w:ascii="Times New Roman" w:hAnsi="Times New Roman" w:eastAsia="宋体"/>
          <w:sz w:val="18"/>
        </w:rPr>
        <w:t>[19] Hansen P, Alismail H, Rander P, Browning B. Visual mapping for natural gas pipe inspection[J]. The International Journal of Robotics Research, 2015, 34(4-5): 532-558. DOI: 10.1177/0278364914550133.</w:t>
      </w:r>
    </w:p>
    <w:p>
      <w:pPr>
        <w:spacing w:line="240" w:lineRule="auto" w:after="60"/>
        <w:ind w:left="420" w:hanging="420"/>
        <w:jc w:val="both"/>
      </w:pPr>
      <w:r>
        <w:rPr>
          <w:rFonts w:ascii="Times New Roman" w:hAnsi="Times New Roman" w:eastAsia="宋体"/>
          <w:sz w:val="18"/>
        </w:rPr>
        <w:t>[20] Kagami S, Taira H, Miyashita N, et al. 3D pipe network reconstruction based on structure from motion with incremental conic shape detection and cylindrical constraint[C]//2020 IEEE International Symposium on Industrial Electronics. 2020: 1345-1352. DOI: 10.1109/ISIE45063.2020.9152377.</w:t>
      </w:r>
    </w:p>
    <w:p>
      <w:pPr>
        <w:spacing w:line="240" w:lineRule="auto" w:after="60"/>
        <w:ind w:left="420" w:hanging="420"/>
        <w:jc w:val="both"/>
      </w:pPr>
      <w:r>
        <w:rPr>
          <w:rFonts w:ascii="Times New Roman" w:hAnsi="Times New Roman" w:eastAsia="宋体"/>
          <w:sz w:val="18"/>
        </w:rPr>
        <w:t>[21] Cheng Y Q, Li W L, Jiang C, et al. A novel cooling hole inspection method for turbine blade using 3D reconstruction of stereo vision[J]. Measurement Science and Technology, 2022, 33(1): 015018. DOI: 10.1088/1361-6501/ac39d0.</w:t>
      </w:r>
    </w:p>
    <w:p>
      <w:pPr>
        <w:spacing w:line="240" w:lineRule="auto" w:after="60"/>
        <w:ind w:left="420" w:hanging="420"/>
        <w:jc w:val="both"/>
      </w:pPr>
      <w:r>
        <w:rPr>
          <w:rFonts w:ascii="Times New Roman" w:hAnsi="Times New Roman" w:eastAsia="宋体"/>
          <w:sz w:val="18"/>
        </w:rPr>
        <w:t>[22] Yang L, Zhou F, Li X, et al. 3-D vision measurement system and method for small-diameter pipeline[J]. IEEE Transactions on Instrumentation and Measurement, 2024, 73: 1-11. DOI: 10.1109/TIM.2024.3470955.</w:t>
      </w:r>
    </w:p>
    <w:p>
      <w:pPr>
        <w:spacing w:line="240" w:lineRule="auto" w:after="60"/>
        <w:ind w:left="420" w:hanging="420"/>
        <w:jc w:val="both"/>
      </w:pPr>
      <w:r>
        <w:rPr>
          <w:rFonts w:ascii="Times New Roman" w:hAnsi="Times New Roman" w:eastAsia="宋体"/>
          <w:sz w:val="18"/>
        </w:rPr>
        <w:t>[23] Zhang Z. A flexible new technique for camera calibration[J]. IEEE Transactions on Pattern Analysis and Machine Intelligence, 2000, 22(11): 1330-1334. DOI: 10.1109/34.888718.</w:t>
      </w:r>
    </w:p>
    <w:p>
      <w:pPr>
        <w:spacing w:line="240" w:lineRule="auto" w:after="60"/>
        <w:ind w:left="420" w:hanging="420"/>
        <w:jc w:val="both"/>
      </w:pPr>
      <w:r>
        <w:rPr>
          <w:rFonts w:ascii="Times New Roman" w:hAnsi="Times New Roman" w:eastAsia="宋体"/>
          <w:sz w:val="18"/>
        </w:rPr>
        <w:t>[24] Gu Y, Lv J, Bo J, et al. Joint dense 3D reconstruction method for endoscopic images of weak texture scenes[J]. IEEE Access, 2021, 9: 138254-138266. DOI: 10.1109/ACCESS.2021.3118345.</w:t>
      </w:r>
    </w:p>
    <w:p>
      <w:pPr>
        <w:spacing w:line="240" w:lineRule="auto" w:after="60"/>
        <w:ind w:left="420" w:hanging="420"/>
        <w:jc w:val="both"/>
      </w:pPr>
      <w:r>
        <w:rPr>
          <w:rFonts w:ascii="Times New Roman" w:hAnsi="Times New Roman" w:eastAsia="宋体"/>
          <w:sz w:val="18"/>
        </w:rPr>
        <w:t>[25] Wakayama T, Machi K, Yoshizawa T. Small size probe for inner profile measurement of pipes using optical fiber ring beam device[C]//Proceedings of SPIE. 2012, 8563: 85630L. DOI: 10.1117/12.999878.</w:t>
      </w:r>
    </w:p>
    <w:p>
      <w:pPr>
        <w:spacing w:line="240" w:lineRule="auto" w:after="60"/>
        <w:ind w:left="420" w:hanging="420"/>
        <w:jc w:val="both"/>
      </w:pPr>
      <w:r>
        <w:rPr>
          <w:rFonts w:ascii="Times New Roman" w:hAnsi="Times New Roman" w:eastAsia="宋体"/>
          <w:sz w:val="18"/>
        </w:rPr>
        <w:t>[26] Zhu Y, Wang L, Gu Y, et al. A laser triangulation-based 3D measurement system for inner surface of deep holes[C]//ASME 2018 International Manufacturing Science and Engineering Conference. 2018: MSEC2018-6453. DOI: 10.1115/MSEC2018-6453.</w:t>
      </w:r>
    </w:p>
    <w:p>
      <w:pPr>
        <w:spacing w:line="240" w:lineRule="auto" w:after="60"/>
        <w:ind w:left="420" w:hanging="420"/>
        <w:jc w:val="both"/>
      </w:pPr>
      <w:r>
        <w:rPr>
          <w:rFonts w:ascii="Times New Roman" w:hAnsi="Times New Roman" w:eastAsia="宋体"/>
          <w:sz w:val="18"/>
        </w:rPr>
        <w:t>[27] Li T, Duan F, Fu X, et al. A novel method for 3D reconstruction in tight and restricted space based on improved line-structured light[J]. Measurement, 2023, 216: 112930. DOI: 10.1016/j.measurement.2023.112930.</w:t>
      </w:r>
    </w:p>
    <w:p>
      <w:pPr>
        <w:spacing w:line="240" w:lineRule="auto" w:after="60"/>
        <w:ind w:left="420" w:hanging="420"/>
        <w:jc w:val="both"/>
      </w:pPr>
      <w:r>
        <w:rPr>
          <w:rFonts w:ascii="Times New Roman" w:hAnsi="Times New Roman" w:eastAsia="宋体"/>
          <w:sz w:val="18"/>
        </w:rPr>
        <w:t>[28] Alzuhiri M, Farrag K, Lever E, Deng Y. An electronically stabilized multi-color multi-ring structured light sensor for gas pipelines internal surface inspection[J]. IEEE Sensors Journal, 2021, 21(17): 19416-19426. DOI: 10.1109/JSEN.2021.3086415.</w:t>
      </w:r>
    </w:p>
    <w:p>
      <w:pPr>
        <w:spacing w:line="240" w:lineRule="auto" w:after="60"/>
        <w:ind w:left="420" w:hanging="420"/>
        <w:jc w:val="both"/>
      </w:pPr>
      <w:r>
        <w:rPr>
          <w:rFonts w:ascii="Times New Roman" w:hAnsi="Times New Roman" w:eastAsia="宋体"/>
          <w:sz w:val="18"/>
        </w:rPr>
        <w:t>[29] Li X, Deng C, Wu Y, et al. Accuracy improvement of a multi-ring beam structured inner surface measurement: Via novel calibration methodology and light source optimization[J]. Measurement Science and Technology, 2024, 35(9): 095002. DOI: 10.1088/1361-6501/ad4bfb.</w:t>
      </w:r>
    </w:p>
    <w:p>
      <w:pPr>
        <w:spacing w:line="240" w:lineRule="auto" w:after="60"/>
        <w:ind w:left="420" w:hanging="420"/>
        <w:jc w:val="both"/>
      </w:pPr>
      <w:r>
        <w:rPr>
          <w:rFonts w:ascii="Times New Roman" w:hAnsi="Times New Roman" w:eastAsia="宋体"/>
          <w:sz w:val="18"/>
        </w:rPr>
        <w:t>[30] Li Z, Fang C, Zhang X. A full-profile measurement method for an inner wall with narrow-aperture and large-cavity parts based on line-structured light rotary scanning[J]. Sensors, 2025, 25(9): 2843. DOI: 10.3390/s25092843.</w:t>
      </w:r>
    </w:p>
    <w:p>
      <w:pPr>
        <w:spacing w:line="240" w:lineRule="auto" w:after="60"/>
        <w:ind w:left="420" w:hanging="420"/>
        <w:jc w:val="both"/>
      </w:pPr>
      <w:r>
        <w:rPr>
          <w:rFonts w:ascii="Times New Roman" w:hAnsi="Times New Roman" w:eastAsia="宋体"/>
          <w:sz w:val="18"/>
        </w:rPr>
        <w:t>[31] Bai J, Wang Y, Wang X, et al. Three-probe error separation with chromatic confocal sensors for roundness measurement[J]. Nanomanufacturing and Metrology, 2021, 4: 247-255. DOI: 10.1007/s41871-021-00120-8.</w:t>
      </w:r>
    </w:p>
    <w:p>
      <w:pPr>
        <w:spacing w:line="240" w:lineRule="auto" w:after="60"/>
        <w:ind w:left="420" w:hanging="420"/>
        <w:jc w:val="both"/>
      </w:pPr>
      <w:r>
        <w:rPr>
          <w:rFonts w:ascii="Times New Roman" w:hAnsi="Times New Roman" w:eastAsia="宋体"/>
          <w:sz w:val="18"/>
        </w:rPr>
        <w:t>[32] Liu Y, Yu D, Du H, Chen T. Measurement of form and position error of small-diameter deep holes based on collaboration between a lateral confocal displacement sensor and helical scanning[J]. Sensors, 2025, 25(22): 6863. DOI: 10.3390/s25226863.</w:t>
      </w:r>
    </w:p>
    <w:p>
      <w:pPr>
        <w:spacing w:line="240" w:lineRule="auto" w:after="60"/>
        <w:ind w:left="420" w:hanging="420"/>
        <w:jc w:val="both"/>
      </w:pPr>
      <w:r>
        <w:rPr>
          <w:rFonts w:ascii="Times New Roman" w:hAnsi="Times New Roman" w:eastAsia="宋体"/>
          <w:sz w:val="18"/>
        </w:rPr>
        <w:t>[33] Pfeifer T, Schmitt R, König N, Mallmann G F. Interferometric measurement of injection nozzles using ultra-small fiber-optical probes[J]. Chinese Optics Letters, 2011, 9(7): 071202. DOI: 10.3788/COL201109.071202.</w:t>
      </w:r>
    </w:p>
    <w:p>
      <w:pPr>
        <w:spacing w:line="240" w:lineRule="auto" w:after="60"/>
        <w:ind w:left="420" w:hanging="420"/>
        <w:jc w:val="both"/>
      </w:pPr>
      <w:r>
        <w:rPr>
          <w:rFonts w:ascii="Times New Roman" w:hAnsi="Times New Roman" w:eastAsia="宋体"/>
          <w:sz w:val="18"/>
        </w:rPr>
        <w:t>[34] Matsui K, Matsumoto H, Takahashi S, Takamasu K. New non-contact measurement of small inside-diameter using tandem low-coherence interferometer and optical fiber devices[J]. Key Engineering Materials, 2012, 523-524: 871-876. DOI: 10.4028/www.scientific.net/KEM.523-524.871.</w:t>
      </w:r>
    </w:p>
    <w:p>
      <w:pPr>
        <w:spacing w:line="240" w:lineRule="auto" w:after="60"/>
        <w:ind w:left="420" w:hanging="420"/>
        <w:jc w:val="both"/>
      </w:pPr>
      <w:r>
        <w:rPr>
          <w:rFonts w:ascii="Times New Roman" w:hAnsi="Times New Roman" w:eastAsia="宋体"/>
          <w:sz w:val="18"/>
        </w:rPr>
        <w:t>[35] Jackson W E, Dobie G, MacLeod C, et al. Error analysis and calibration for a novel pipe profiling tool[J]. IEEE Sensors Journal, 2020, 20(7): 3545-3555. DOI: 10.1109/JSEN.2019.2960939.</w:t>
      </w:r>
    </w:p>
    <w:p>
      <w:pPr>
        <w:spacing w:line="240" w:lineRule="auto" w:after="60"/>
        <w:ind w:left="420" w:hanging="420"/>
        <w:jc w:val="both"/>
      </w:pPr>
      <w:r>
        <w:rPr>
          <w:rFonts w:ascii="Times New Roman" w:hAnsi="Times New Roman" w:eastAsia="宋体"/>
          <w:sz w:val="18"/>
        </w:rPr>
        <w:t>[36] JCGM. Evaluation of measurement data—Guide to the expression of uncertainty in measurement: JCGM 100:2008[S]. 2008. DOI: 10.59161/JCGM100-2008E.</w:t>
      </w:r>
    </w:p>
    <w:p>
      <w:pPr>
        <w:spacing w:line="240" w:lineRule="auto" w:after="60"/>
        <w:ind w:left="420" w:hanging="420"/>
        <w:jc w:val="both"/>
      </w:pPr>
      <w:r>
        <w:rPr>
          <w:rFonts w:ascii="Times New Roman" w:hAnsi="Times New Roman" w:eastAsia="宋体"/>
          <w:sz w:val="18"/>
        </w:rPr>
        <w:t>[37] JCGM. Evaluation of measurement data—Supplement 1 to the GUM—Propagation of distributions using a Monte Carlo method: JCGM 101:2008[S]. 2008. DOI: 10.59161/JCGM101-2008.</w:t>
      </w:r>
    </w:p>
    <w:p>
      <w:pPr>
        <w:spacing w:line="240" w:lineRule="auto" w:after="60"/>
        <w:ind w:left="420" w:hanging="420"/>
        <w:jc w:val="both"/>
      </w:pPr>
      <w:r>
        <w:rPr>
          <w:rFonts w:ascii="Times New Roman" w:hAnsi="Times New Roman" w:eastAsia="宋体"/>
          <w:sz w:val="18"/>
        </w:rPr>
        <w:t>[38] Middendorf P, Blümel R, Hinz L, et al. Pose estimation and damage characterization of turbine blades during inspection cycles and component-protective disassembly processes[J]. Sensors, 2022, 22(14): 5191. DOI: 10.3390/s22145191.</w:t>
      </w:r>
    </w:p>
    <w:p>
      <w:pPr>
        <w:spacing w:line="240" w:lineRule="auto" w:after="60"/>
        <w:ind w:left="420" w:hanging="420"/>
        <w:jc w:val="both"/>
      </w:pPr>
      <w:r>
        <w:rPr>
          <w:rFonts w:ascii="Times New Roman" w:hAnsi="Times New Roman" w:eastAsia="宋体"/>
          <w:sz w:val="18"/>
        </w:rPr>
        <w:t>[39] García I, Zubia J, Durana G, et al. Tip-clearance measurement in the first stage of the compressor of an aircraft engine[J]. Sensors, 2016, 16(11): 1897. DOI: 10.3390/s16111897.</w:t>
      </w:r>
    </w:p>
    <w:p>
      <w:pPr>
        <w:spacing w:line="240" w:lineRule="auto" w:after="60"/>
        <w:ind w:left="420" w:hanging="420"/>
        <w:jc w:val="both"/>
      </w:pPr>
      <w:r>
        <w:rPr>
          <w:rFonts w:ascii="Times New Roman" w:hAnsi="Times New Roman" w:eastAsia="宋体"/>
          <w:sz w:val="18"/>
        </w:rPr>
        <w:t>[40] ISO. ISO 10360-5:2020 Geometrical product specifications (GPS)—Acceptance and reverification tests for coordinate measuring systems (CMS)—Part 5: CMMs using single and multiple stylus contacting probing systems[S]. Geneva: ISO, 2020.</w:t>
      </w:r>
    </w:p>
    <w:p>
      <w:pPr>
        <w:spacing w:line="240" w:lineRule="auto" w:after="60"/>
        <w:ind w:left="420" w:hanging="420"/>
        <w:jc w:val="both"/>
      </w:pPr>
      <w:r>
        <w:rPr>
          <w:rFonts w:ascii="Times New Roman" w:hAnsi="Times New Roman" w:eastAsia="宋体"/>
          <w:sz w:val="18"/>
        </w:rPr>
        <w:t>[41] ISO. ISO 10360-13:2021 Geometrical product specifications (GPS)—Acceptance and reverification tests for coordinate measuring systems (CMS)—Part 13: Optical 3D CMS[S]. Geneva: ISO, 2021.</w:t>
      </w:r>
    </w:p>
    <w:p>
      <w:pPr>
        <w:spacing w:line="240" w:lineRule="auto" w:after="60"/>
        <w:ind w:left="420" w:hanging="420"/>
        <w:jc w:val="both"/>
      </w:pPr>
      <w:r>
        <w:rPr>
          <w:rFonts w:ascii="Times New Roman" w:hAnsi="Times New Roman" w:eastAsia="宋体"/>
          <w:sz w:val="18"/>
        </w:rPr>
        <w:t>[42] ISO. ISO 15530-3:2011 Geometrical product specifications (GPS)—Coordinate measuring machines (CMM): Technique for determining the uncertainty of measurement—Part 3: Use of calibrated workpieces or measurement standards[S]. Geneva: ISO, 2011.</w:t>
      </w:r>
    </w:p>
    <w:sectPr w:rsidR="00FC693F" w:rsidRPr="0006063C" w:rsidSect="00034616">
      <w:footerReference w:type="default" r:id="rId9"/>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工业狭小空间几何测量方法研究进展</dc:title>
  <dc:subject>工业狭小空间几何测量方法综述</dc:subject>
  <dc:creator>python-docx</dc:creator>
  <cp:keywords>狭小空间；几何测量；深孔；内窥视觉；结构光；微型探针</cp:keywords>
  <dc:description>generated by python-docx</dc:description>
  <cp:lastModifiedBy/>
  <cp:revision>1</cp:revision>
  <dcterms:created xsi:type="dcterms:W3CDTF">2013-12-23T23:15:00Z</dcterms:created>
  <dcterms:modified xsi:type="dcterms:W3CDTF">2013-12-23T23:15:00Z</dcterms:modified>
  <cp:category/>
</cp:coreProperties>
</file>