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构建高性能</w:t>
      </w:r>
      <w:r>
        <w:rPr>
          <w:rFonts w:hint="eastAsia"/>
          <w:lang w:val="en-US" w:eastAsia="zh-CN"/>
        </w:rPr>
        <w:t>WEB站点</w:t>
      </w:r>
    </w:p>
    <w:p>
      <w:pPr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知其然而不知其所以然是很多浮躁开发者的通病，也因此限制了其技术能力的提升和发展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319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2016-10-19T15:45:30Z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